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EBC17" w14:textId="76C4E60C" w:rsidR="00BF7794" w:rsidRDefault="00000000">
      <w:pPr>
        <w:pStyle w:val="CH"/>
        <w:tabs>
          <w:tab w:val="clear" w:pos="9639"/>
          <w:tab w:val="right" w:pos="9614"/>
        </w:tabs>
      </w:pPr>
      <w:bookmarkStart w:id="0" w:name="historyclause"/>
      <w:r>
        <w:t>3GPP RAN WG4 Meeting #111</w:t>
      </w:r>
      <w:r>
        <w:tab/>
      </w:r>
      <w:r>
        <w:tab/>
      </w:r>
      <w:r w:rsidR="00891F98" w:rsidRPr="00891F98">
        <w:t>R4-2407052</w:t>
      </w:r>
    </w:p>
    <w:p w14:paraId="7AC2A647" w14:textId="77777777" w:rsidR="00BF7794" w:rsidRDefault="00000000">
      <w:pPr>
        <w:pStyle w:val="CH"/>
        <w:tabs>
          <w:tab w:val="clear" w:pos="7920"/>
          <w:tab w:val="clear" w:pos="9639"/>
          <w:tab w:val="right" w:pos="9614"/>
        </w:tabs>
        <w:rPr>
          <w:b w:val="0"/>
          <w:bCs w:val="0"/>
        </w:rPr>
      </w:pPr>
      <w:r>
        <w:t>Fukuoka, Japan, 20th May – 24th May 2024</w:t>
      </w:r>
      <w:r>
        <w:tab/>
      </w:r>
    </w:p>
    <w:p w14:paraId="1871EF87" w14:textId="77777777" w:rsidR="00BF7794" w:rsidRDefault="00BF7794">
      <w:pPr>
        <w:pStyle w:val="Body"/>
        <w:tabs>
          <w:tab w:val="left" w:pos="2160"/>
        </w:tabs>
        <w:rPr>
          <w:rFonts w:ascii="Arial" w:eastAsia="Arial" w:hAnsi="Arial" w:cs="Arial"/>
          <w:b/>
          <w:bCs/>
        </w:rPr>
      </w:pPr>
    </w:p>
    <w:p w14:paraId="65FEB9B9" w14:textId="4F8DEDA3" w:rsidR="00BF7794" w:rsidRDefault="00000000">
      <w:pPr>
        <w:pStyle w:val="CH"/>
        <w:tabs>
          <w:tab w:val="clear" w:pos="9639"/>
          <w:tab w:val="right" w:pos="9614"/>
        </w:tabs>
        <w:rPr>
          <w:b w:val="0"/>
          <w:bCs w:val="0"/>
        </w:rPr>
      </w:pPr>
      <w:r>
        <w:t>Agenda item:</w:t>
      </w:r>
      <w:r>
        <w:tab/>
      </w:r>
      <w:r w:rsidR="00891F98">
        <w:t>10.3.4</w:t>
      </w:r>
    </w:p>
    <w:p w14:paraId="7827EA6F" w14:textId="77777777" w:rsidR="00BF7794" w:rsidRDefault="00000000">
      <w:pPr>
        <w:pStyle w:val="CH"/>
        <w:tabs>
          <w:tab w:val="clear" w:pos="9639"/>
          <w:tab w:val="right" w:pos="9614"/>
        </w:tabs>
        <w:rPr>
          <w:b w:val="0"/>
          <w:bCs w:val="0"/>
        </w:rPr>
      </w:pPr>
      <w:r>
        <w:t>Source:</w:t>
      </w:r>
      <w:r>
        <w:tab/>
        <w:t>Apple</w:t>
      </w:r>
    </w:p>
    <w:p w14:paraId="2E59AAAC" w14:textId="77777777" w:rsidR="00BF7794" w:rsidRDefault="00000000">
      <w:pPr>
        <w:pStyle w:val="CH"/>
        <w:tabs>
          <w:tab w:val="clear" w:pos="9639"/>
          <w:tab w:val="right" w:pos="9614"/>
        </w:tabs>
      </w:pPr>
      <w:r>
        <w:t>Title:</w:t>
      </w:r>
      <w:r>
        <w:tab/>
        <w:t>On IMT technical parameters for 14800-15350MHz</w:t>
      </w:r>
    </w:p>
    <w:p w14:paraId="40F5562F" w14:textId="77777777" w:rsidR="00BF7794" w:rsidRDefault="00000000">
      <w:pPr>
        <w:pStyle w:val="CH"/>
        <w:tabs>
          <w:tab w:val="clear" w:pos="9639"/>
          <w:tab w:val="right" w:pos="9614"/>
        </w:tabs>
      </w:pPr>
      <w:r>
        <w:t>WI/SI:</w:t>
      </w:r>
      <w:r>
        <w:tab/>
        <w:t>FS_NR_IMT_4400_7125_14800MHz</w:t>
      </w:r>
    </w:p>
    <w:p w14:paraId="1EF830C7" w14:textId="77777777" w:rsidR="00BF7794" w:rsidRDefault="00000000">
      <w:pPr>
        <w:pStyle w:val="CH"/>
        <w:tabs>
          <w:tab w:val="clear" w:pos="9639"/>
          <w:tab w:val="right" w:pos="9614"/>
        </w:tabs>
        <w:rPr>
          <w:b w:val="0"/>
          <w:bCs w:val="0"/>
        </w:rPr>
      </w:pPr>
      <w:r>
        <w:t>Release:</w:t>
      </w:r>
      <w:r>
        <w:tab/>
        <w:t>Rel-19</w:t>
      </w:r>
    </w:p>
    <w:p w14:paraId="327404C1" w14:textId="77777777" w:rsidR="00BF7794" w:rsidRDefault="00000000">
      <w:pPr>
        <w:pStyle w:val="CH"/>
        <w:tabs>
          <w:tab w:val="clear" w:pos="9639"/>
          <w:tab w:val="right" w:pos="9614"/>
        </w:tabs>
      </w:pPr>
      <w:r>
        <w:t>Document for:</w:t>
      </w:r>
      <w:r>
        <w:tab/>
        <w:t>Discussion</w:t>
      </w:r>
    </w:p>
    <w:p w14:paraId="27E73E60" w14:textId="77777777" w:rsidR="00BF7794" w:rsidRDefault="00BF7794">
      <w:pPr>
        <w:pStyle w:val="CH"/>
        <w:tabs>
          <w:tab w:val="clear" w:pos="9639"/>
          <w:tab w:val="right" w:pos="9614"/>
        </w:tabs>
        <w:rPr>
          <w:b w:val="0"/>
          <w:bCs w:val="0"/>
        </w:rPr>
      </w:pPr>
    </w:p>
    <w:p w14:paraId="6D50AFAE" w14:textId="77777777" w:rsidR="00BF7794" w:rsidRDefault="00000000">
      <w:pPr>
        <w:pStyle w:val="Heading"/>
      </w:pPr>
      <w:r>
        <w:rPr>
          <w:lang w:val="fr-FR"/>
        </w:rPr>
        <w:t>1</w:t>
      </w:r>
      <w:r>
        <w:rPr>
          <w:lang w:val="fr-FR"/>
        </w:rPr>
        <w:tab/>
        <w:t xml:space="preserve">Introduction </w:t>
      </w:r>
    </w:p>
    <w:p w14:paraId="4B709900" w14:textId="77777777" w:rsidR="00BF7794" w:rsidRDefault="00000000">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39AA7954" w14:textId="0EAFFA26" w:rsidR="00BF7794" w:rsidRDefault="00000000">
      <w:pPr>
        <w:pStyle w:val="Body"/>
      </w:pPr>
      <w:r>
        <w:rPr>
          <w:lang w:val="en-US"/>
        </w:rPr>
        <w:t>According to the WRC-23 resolution and the corresponding LS from ITU-R WP5D, there are three frequency ranges, for which RAN WG4 is tasked to provide the IMT-2030 parameters: 4400-4800MHz, 7125-8400MHz and 14800-15350MHz.</w:t>
      </w:r>
      <w:bookmarkEnd w:id="0"/>
      <w:r>
        <w:t xml:space="preserve"> </w:t>
      </w:r>
      <w:r>
        <w:rPr>
          <w:lang w:val="en-US"/>
        </w:rPr>
        <w:t xml:space="preserve"> </w:t>
      </w:r>
      <w:bookmarkStart w:id="1" w:name="historyclause2"/>
      <w:r>
        <w:rPr>
          <w:lang w:val="en-US"/>
        </w:rPr>
        <w:t>During the RAN4#110bis meeting an initial discussion took place for the 14800-15300MHz range and RAN WG4 made several general assumptions on which options can be considered further. One of the key aspects was the UE antenna architecture, for which two major approaches were noted: FR1-like approach (with no panels) and FR2-like approach (with panels).</w:t>
      </w:r>
      <w:bookmarkEnd w:id="1"/>
      <w:r>
        <w:rPr>
          <w:lang w:val="en-US"/>
        </w:rPr>
        <w:t xml:space="preserve"> </w:t>
      </w:r>
      <w:r>
        <w:rPr>
          <w:rStyle w:val="Hyperlink0"/>
          <w:lang w:val="en-US"/>
        </w:rPr>
        <w:t xml:space="preserve">In this discussion paper we present our further views on the technical parameters for the </w:t>
      </w:r>
      <w:r>
        <w:rPr>
          <w:lang w:val="en-US"/>
        </w:rPr>
        <w:t>14800-15300MHz</w:t>
      </w:r>
      <w:r>
        <w:rPr>
          <w:rStyle w:val="Hyperlink0"/>
          <w:lang w:val="en-US"/>
        </w:rPr>
        <w:t xml:space="preserve"> range</w:t>
      </w:r>
      <w:r w:rsidR="006009DD">
        <w:rPr>
          <w:rStyle w:val="Hyperlink0"/>
          <w:lang w:val="en-US"/>
        </w:rPr>
        <w:t>, and especially for the UE RF antenna parameters,</w:t>
      </w:r>
      <w:r>
        <w:rPr>
          <w:rStyle w:val="Hyperlink0"/>
          <w:lang w:val="en-US"/>
        </w:rPr>
        <w:t xml:space="preserve"> accounting for the previous work that 3GPP has done for e.g. 10-10.5GHz frequency range </w:t>
      </w:r>
      <w:hyperlink w:anchor="Ref162376889" w:history="1">
        <w:r>
          <w:rPr>
            <w:rStyle w:val="Hyperlink0"/>
            <w:lang w:val="pt-PT"/>
          </w:rPr>
          <w:t>[4]</w:t>
        </w:r>
      </w:hyperlink>
      <w:r>
        <w:rPr>
          <w:rStyle w:val="Hyperlink0"/>
        </w:rPr>
        <w:t>.</w:t>
      </w:r>
    </w:p>
    <w:p w14:paraId="5BFD6DAC" w14:textId="77777777" w:rsidR="00BF7794" w:rsidRDefault="00BF7794">
      <w:pPr>
        <w:pStyle w:val="Body"/>
      </w:pPr>
    </w:p>
    <w:p w14:paraId="24653761" w14:textId="77777777" w:rsidR="00BF7794" w:rsidRDefault="00000000">
      <w:pPr>
        <w:pStyle w:val="Heading"/>
      </w:pPr>
      <w:r>
        <w:rPr>
          <w:rStyle w:val="Hyperlink0"/>
          <w:lang w:val="pt-PT"/>
        </w:rPr>
        <w:t>2</w:t>
      </w:r>
      <w:r>
        <w:rPr>
          <w:rStyle w:val="Hyperlink0"/>
          <w:lang w:val="pt-PT"/>
        </w:rPr>
        <w:tab/>
      </w:r>
      <w:r w:rsidRPr="003F6A9E">
        <w:rPr>
          <w:rStyle w:val="Hyperlink0"/>
          <w:lang w:val="en-US"/>
        </w:rPr>
        <w:t>IMT parameters</w:t>
      </w:r>
    </w:p>
    <w:p w14:paraId="5A0A3A2F" w14:textId="1C802210" w:rsidR="00BF7794" w:rsidRDefault="00000000">
      <w:pPr>
        <w:pStyle w:val="Body"/>
        <w:rPr>
          <w:rStyle w:val="Hyperlink0"/>
        </w:rPr>
      </w:pPr>
      <w:r>
        <w:rPr>
          <w:rStyle w:val="Hyperlink0"/>
          <w:lang w:val="en-US"/>
        </w:rPr>
        <w:t xml:space="preserve">The 14800-15350MHz frequency range is a completely new band for 3GPP residing between the FR1 and FR2 ranges. While 3GPP conducted </w:t>
      </w:r>
      <w:r w:rsidR="00404DE6">
        <w:rPr>
          <w:rStyle w:val="Hyperlink0"/>
          <w:lang w:val="en-US"/>
        </w:rPr>
        <w:t xml:space="preserve">in the past </w:t>
      </w:r>
      <w:r>
        <w:rPr>
          <w:rStyle w:val="Hyperlink0"/>
          <w:lang w:val="en-US"/>
        </w:rPr>
        <w:t xml:space="preserve">the study on IMT technical parameters for the 10-10.5GHz range, results of which can be found in TR 38.921, it should be discussed further which system parameters can be re-used and which ones need further studies. </w:t>
      </w:r>
    </w:p>
    <w:p w14:paraId="556714E2" w14:textId="77777777" w:rsidR="00BF7794" w:rsidRDefault="00000000">
      <w:pPr>
        <w:pStyle w:val="Heading2"/>
        <w:rPr>
          <w:rStyle w:val="Hyperlink0"/>
        </w:rPr>
      </w:pPr>
      <w:r>
        <w:rPr>
          <w:rStyle w:val="Hyperlink0"/>
        </w:rPr>
        <w:t>2.1         UE antenna architecture</w:t>
      </w:r>
    </w:p>
    <w:p w14:paraId="6E990CF2" w14:textId="77777777" w:rsidR="00BF7794" w:rsidRDefault="00000000">
      <w:pPr>
        <w:pStyle w:val="Body"/>
        <w:rPr>
          <w:rStyle w:val="Hyperlink0"/>
        </w:rPr>
      </w:pPr>
      <w:r>
        <w:rPr>
          <w:rStyle w:val="Hyperlink0"/>
          <w:lang w:val="en-US"/>
        </w:rPr>
        <w:t xml:space="preserve">One of the key issues raised during the previous RAN4#110bis meeting is which UE RF architecture we should assume for this range.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p>
    <w:p w14:paraId="0092A0DF" w14:textId="4147BFC9" w:rsidR="00BF7794" w:rsidRDefault="00000000">
      <w:pPr>
        <w:pStyle w:val="Body"/>
        <w:rPr>
          <w:rStyle w:val="Hyperlink0"/>
        </w:rPr>
      </w:pPr>
      <w:r>
        <w:rPr>
          <w:rStyle w:val="Hyperlink0"/>
          <w:lang w:val="en-US"/>
        </w:rPr>
        <w:t xml:space="preserve">As discussed extensively in the past, a choice for a particular UE RF architecture at these frequency ranges is a trade-off between implementation feasibility for the handheld devices and anticipated performance and/or coverage. As an example, the capabilities of PA technology in the FR2 frequency range motivated 3GPP to consider a UE architecture which relies on panels performing analog beam-forming, which was also considered as a feasible option from the handheld device implementation perspective. On the contrary to it, panels and analog beam-forming is </w:t>
      </w:r>
      <w:r w:rsidR="00404DE6">
        <w:rPr>
          <w:rStyle w:val="Hyperlink0"/>
          <w:lang w:val="en-US"/>
        </w:rPr>
        <w:t xml:space="preserve">simply </w:t>
      </w:r>
      <w:r>
        <w:rPr>
          <w:rStyle w:val="Hyperlink0"/>
          <w:lang w:val="en-US"/>
        </w:rPr>
        <w:t xml:space="preserve">not feasible for lower FR1 frequencies. </w:t>
      </w:r>
    </w:p>
    <w:p w14:paraId="14322F5B" w14:textId="4DF144FA" w:rsidR="00BF7794" w:rsidRDefault="00000000">
      <w:pPr>
        <w:pStyle w:val="Body"/>
        <w:rPr>
          <w:rStyle w:val="Hyperlink0"/>
        </w:rPr>
      </w:pPr>
      <w:r>
        <w:rPr>
          <w:lang w:val="en-US"/>
        </w:rPr>
        <w:t xml:space="preserve">Since the considered range of 14.8-15.3GHz is between the FR1 and FR2 ranges, a new set of considerations is needed to determine the reference UE </w:t>
      </w:r>
      <w:r w:rsidR="00404DE6">
        <w:rPr>
          <w:lang w:val="en-US"/>
        </w:rPr>
        <w:t xml:space="preserve">RF </w:t>
      </w:r>
      <w:r>
        <w:rPr>
          <w:lang w:val="en-US"/>
        </w:rPr>
        <w:t xml:space="preserve">architecture.  </w:t>
      </w:r>
      <w:r>
        <w:rPr>
          <w:rStyle w:val="Hyperlink0"/>
          <w:lang w:val="en-US"/>
        </w:rPr>
        <w:t>Current device implementations heavily leverage the bezel/perimeter of the device for sub-6</w:t>
      </w:r>
      <w:r w:rsidR="00404DE6">
        <w:rPr>
          <w:rStyle w:val="Hyperlink0"/>
          <w:lang w:val="en-US"/>
        </w:rPr>
        <w:t>GHz</w:t>
      </w:r>
      <w:r>
        <w:rPr>
          <w:rStyle w:val="Hyperlink0"/>
          <w:lang w:val="en-US"/>
        </w:rPr>
        <w:t xml:space="preserve"> antenna implementations, which provides benefits both in terms of performance and space efficiency.  In terms of internal area usage, there are two basic categories for FR1: additional internal antenna geometries and component/feeding area.  Internal antenna geometries are traces/shapes implemented in LDS or in flexible or rigid PCBs, which radiate through windows or a dielectric enclosure material.  Some devices do not use them at all, relying exclusively on antennas implemented in the bezel.  Component area includes matching components, </w:t>
      </w:r>
      <w:r>
        <w:rPr>
          <w:rStyle w:val="Hyperlink0"/>
          <w:lang w:val="en-US"/>
        </w:rPr>
        <w:lastRenderedPageBreak/>
        <w:t xml:space="preserve">tuners, and feed springs/clips.  Both types of area usage are given equal weight in this analysis, although components can often co-exist with other device components.  </w:t>
      </w:r>
    </w:p>
    <w:p w14:paraId="644F6D35" w14:textId="4C405190" w:rsidR="00BF7794" w:rsidRDefault="00000000">
      <w:pPr>
        <w:pStyle w:val="Body"/>
        <w:rPr>
          <w:rStyle w:val="Hyperlink0"/>
        </w:rPr>
      </w:pPr>
      <w:r>
        <w:rPr>
          <w:rStyle w:val="Hyperlink0"/>
          <w:lang w:val="en-US"/>
        </w:rPr>
        <w:t xml:space="preserve">When analog beamforming is prescribed, control of the element radiation patterns is required, therefore dedicated antenna area is required with less opportunity for space sharing or miniaturization.  </w:t>
      </w:r>
      <w:r w:rsidR="00404DE6">
        <w:rPr>
          <w:rStyle w:val="Hyperlink0"/>
          <w:lang w:val="en-US"/>
        </w:rPr>
        <w:t>So u</w:t>
      </w:r>
      <w:r>
        <w:rPr>
          <w:rStyle w:val="Hyperlink0"/>
          <w:lang w:val="en-US"/>
        </w:rPr>
        <w:t xml:space="preserve">se of the bezel is not generally feasible.  Figure </w:t>
      </w:r>
      <w:r w:rsidR="00891F98">
        <w:rPr>
          <w:rStyle w:val="Hyperlink0"/>
          <w:lang w:val="en-US"/>
        </w:rPr>
        <w:t>2.</w:t>
      </w:r>
      <w:r>
        <w:rPr>
          <w:rStyle w:val="Hyperlink0"/>
          <w:lang w:val="en-US"/>
        </w:rPr>
        <w:t>1</w:t>
      </w:r>
      <w:r w:rsidR="00891F98">
        <w:rPr>
          <w:rStyle w:val="Hyperlink0"/>
          <w:lang w:val="en-US"/>
        </w:rPr>
        <w:t>-1</w:t>
      </w:r>
      <w:r>
        <w:rPr>
          <w:rStyle w:val="Hyperlink0"/>
          <w:lang w:val="en-US"/>
        </w:rPr>
        <w:t xml:space="preserve"> below illustrates a survey of the internal area used by four different commercially available 5G devices for FR1.  The FR2 area is calculated based a single 4x1 reference design, </w:t>
      </w:r>
      <w:r w:rsidR="00404DE6">
        <w:rPr>
          <w:rStyle w:val="Hyperlink0"/>
          <w:lang w:val="en-US"/>
        </w:rPr>
        <w:t>which is</w:t>
      </w:r>
      <w:r>
        <w:rPr>
          <w:rStyle w:val="Hyperlink0"/>
          <w:lang w:val="en-US"/>
        </w:rPr>
        <w:t xml:space="preserve"> used as the basis for current FR2 spherical coverage requirements.  Additionally, an estimate of the required FR3 antenna array area is provided for comparison, similarly based on a 4x1 microstrip patch array with half-wavelength spacing.</w:t>
      </w:r>
      <w:r w:rsidR="00891F98">
        <w:rPr>
          <w:rStyle w:val="Hyperlink0"/>
          <w:lang w:val="en-US"/>
        </w:rPr>
        <w:t xml:space="preserve"> So, </w:t>
      </w:r>
      <w:r w:rsidR="00891F98">
        <w:rPr>
          <w:lang w:val="en-US"/>
        </w:rPr>
        <w:t xml:space="preserve">assuming dedicated apertures, an estimated FR3 4x1 array at 15 GHz would represent an additional area growth on the order of 30-70% relative to antenna area usage currently needed to support FR1. This would mean support of analog beamforming in FR3 would impose a substantial growth and volume requirements dedicated for cellular antennas.  Furthermore, the nature of such an array constrains the dimensions of the implementation, making it substantially more challenging to implement </w:t>
      </w:r>
      <w:r w:rsidR="00891F98">
        <w:rPr>
          <w:rStyle w:val="Hyperlink0"/>
          <w:noProof/>
        </w:rPr>
        <w:drawing>
          <wp:anchor distT="152400" distB="152400" distL="152400" distR="152400" simplePos="0" relativeHeight="251659264" behindDoc="0" locked="0" layoutInCell="1" allowOverlap="1" wp14:anchorId="5CCE9974" wp14:editId="05EAA313">
            <wp:simplePos x="0" y="0"/>
            <wp:positionH relativeFrom="margin">
              <wp:posOffset>-8890</wp:posOffset>
            </wp:positionH>
            <wp:positionV relativeFrom="line">
              <wp:posOffset>424059</wp:posOffset>
            </wp:positionV>
            <wp:extent cx="6117590" cy="2870835"/>
            <wp:effectExtent l="0" t="0" r="3810" b="0"/>
            <wp:wrapTopAndBottom/>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8"/>
                    <a:srcRect t="8285" b="8285"/>
                    <a:stretch>
                      <a:fillRect/>
                    </a:stretch>
                  </pic:blipFill>
                  <pic:spPr>
                    <a:xfrm>
                      <a:off x="0" y="0"/>
                      <a:ext cx="6117590" cy="2870835"/>
                    </a:xfrm>
                    <a:prstGeom prst="rect">
                      <a:avLst/>
                    </a:prstGeom>
                    <a:ln w="12700" cap="flat">
                      <a:noFill/>
                      <a:miter lim="400000"/>
                    </a:ln>
                    <a:effectLst/>
                  </pic:spPr>
                </pic:pic>
              </a:graphicData>
            </a:graphic>
          </wp:anchor>
        </w:drawing>
      </w:r>
      <w:r w:rsidR="00891F98">
        <w:rPr>
          <w:lang w:val="en-US"/>
        </w:rPr>
        <w:t>in densely integrated consumer devices</w:t>
      </w:r>
      <w:r w:rsidR="00891F98">
        <w:rPr>
          <w:rStyle w:val="Hyperlink0"/>
          <w:lang w:val="en-US"/>
        </w:rPr>
        <w:t xml:space="preserve"> dedicated for cellular antennas.</w:t>
      </w:r>
    </w:p>
    <w:p w14:paraId="2EA99EAE" w14:textId="364A331E" w:rsidR="00891F98" w:rsidRDefault="00891F98" w:rsidP="00891F98">
      <w:pPr>
        <w:pStyle w:val="TF"/>
      </w:pPr>
      <w:r>
        <w:t xml:space="preserve">Figure </w:t>
      </w:r>
      <w:r w:rsidRPr="00891F98">
        <w:t>2.1-1: A survey of internal area usage for FR1, FR2 and estimated FR3 antennas.</w:t>
      </w:r>
    </w:p>
    <w:p w14:paraId="7EED9B5C" w14:textId="3351E4ED" w:rsidR="00BF7794" w:rsidRDefault="00000000">
      <w:pPr>
        <w:pStyle w:val="Body"/>
        <w:rPr>
          <w:rStyle w:val="Hyperlink0"/>
        </w:rPr>
      </w:pPr>
      <w:r>
        <w:rPr>
          <w:rStyle w:val="Hyperlink0"/>
          <w:lang w:val="en-US"/>
        </w:rPr>
        <w:t>At least when 3GPP was contemplating the 7.1-24GHz frequency range, preliminary conclusions and findings were captured in TR 38.820 with concerns that echo this contemporary analysis raised with regards to implementation feasibility of FR2 principles in hand-held devices operating frequency ranges around 10-15GHz. The main obstacle is the size of potential FR2 panel and, as noted in TR 38.820, "</w:t>
      </w:r>
      <w:r>
        <w:rPr>
          <w:rStyle w:val="None"/>
          <w:i/>
          <w:iCs/>
          <w:lang w:val="en-US"/>
        </w:rPr>
        <w:t>… we can see that the antenna module doubles in size going from 28 GHz to 20 GHz and further doubles at 14 GHz</w:t>
      </w:r>
      <w:r>
        <w:rPr>
          <w:rStyle w:val="Hyperlink0"/>
          <w:lang w:val="en-US"/>
        </w:rPr>
        <w:t xml:space="preserve">". </w:t>
      </w:r>
    </w:p>
    <w:p w14:paraId="7C6E1BB1" w14:textId="1A364ECA" w:rsidR="00BF7794" w:rsidRDefault="00000000">
      <w:pPr>
        <w:pStyle w:val="Body"/>
        <w:rPr>
          <w:rStyle w:val="Hyperlink0"/>
        </w:rPr>
      </w:pPr>
      <w:r>
        <w:rPr>
          <w:rStyle w:val="Hyperlink0"/>
          <w:lang w:val="en-US"/>
        </w:rPr>
        <w:t>Additionally, RAN4 should also consider the practical aspect of the testability of requirements in the 15 GHz frequency range.  Clause 6.3.1.4 of TR 38.820 includes a survey of antenna connector and probe capability in this frequency range and concludes as follows: “</w:t>
      </w:r>
      <w:r>
        <w:rPr>
          <w:rStyle w:val="None"/>
          <w:i/>
          <w:iCs/>
          <w:lang w:val="en-US"/>
        </w:rPr>
        <w:t>… Market need tends to identify innovation trends, and it is feasible that a convergence of an actual band plan, deployment scenario, and real market need can promote the industry to further innovate the connector technology to enable integration into a handset form factor.</w:t>
      </w:r>
      <w:r>
        <w:rPr>
          <w:rStyle w:val="Hyperlink0"/>
          <w:lang w:val="en-US"/>
        </w:rPr>
        <w:t>”  Thus, an FR1 like UE RF architecture assumption accommodates conducted conformance testing.  From the perspective of overall test time, and its impact on the time to certify a device, we can conclude that when compared to FR2 a set of conducted conformance requirements can significantly improve the total time it takes to bring user equipment to the market:  from R&amp;D through certification.</w:t>
      </w:r>
    </w:p>
    <w:p w14:paraId="27295E7F" w14:textId="4EBC93DB" w:rsidR="00BF7794" w:rsidRDefault="00000000">
      <w:pPr>
        <w:pStyle w:val="Body"/>
        <w:rPr>
          <w:rStyle w:val="Hyperlink0"/>
        </w:rPr>
      </w:pPr>
      <w:r>
        <w:rPr>
          <w:rStyle w:val="Hyperlink0"/>
          <w:lang w:val="en-US"/>
        </w:rPr>
        <w:t>From that perspective we favour considering the FR1-like approach</w:t>
      </w:r>
      <w:r w:rsidR="001D6F63">
        <w:rPr>
          <w:rStyle w:val="Hyperlink0"/>
          <w:lang w:val="en-US"/>
        </w:rPr>
        <w:t xml:space="preserve">, </w:t>
      </w:r>
      <w:r>
        <w:rPr>
          <w:rStyle w:val="Hyperlink0"/>
          <w:lang w:val="en-US"/>
        </w:rPr>
        <w:t xml:space="preserve">which will provide more flexibility in deciding how and where the antennas will be placed in the form factor.  </w:t>
      </w:r>
    </w:p>
    <w:p w14:paraId="791AF816" w14:textId="77777777" w:rsidR="00BF7794" w:rsidRDefault="00BF7794">
      <w:pPr>
        <w:pStyle w:val="Body"/>
        <w:rPr>
          <w:rStyle w:val="Hyperlink0"/>
        </w:rPr>
      </w:pPr>
    </w:p>
    <w:p w14:paraId="1AAC6EE9" w14:textId="77777777" w:rsidR="00BF7794" w:rsidRDefault="00000000">
      <w:pPr>
        <w:pStyle w:val="Heading2"/>
        <w:rPr>
          <w:rStyle w:val="Hyperlink0"/>
        </w:rPr>
      </w:pPr>
      <w:r>
        <w:rPr>
          <w:rStyle w:val="Hyperlink0"/>
        </w:rPr>
        <w:t>2.2         Other parameters</w:t>
      </w:r>
    </w:p>
    <w:p w14:paraId="6427B17E" w14:textId="77777777" w:rsidR="00BF7794" w:rsidRPr="000B0B1C" w:rsidRDefault="00000000">
      <w:pPr>
        <w:pStyle w:val="Body"/>
        <w:rPr>
          <w:lang w:val="en-US"/>
        </w:rPr>
      </w:pPr>
      <w:r w:rsidRPr="000B0B1C">
        <w:rPr>
          <w:rStyle w:val="Hyperlink0"/>
          <w:lang w:val="en-US"/>
        </w:rPr>
        <w:t>Next, we present our further considerations for other UE side IMT parameters.</w:t>
      </w:r>
    </w:p>
    <w:p w14:paraId="61D1083C" w14:textId="77777777" w:rsidR="00BF7794" w:rsidRDefault="00000000">
      <w:pPr>
        <w:pStyle w:val="B1"/>
      </w:pPr>
      <w:r>
        <w:rPr>
          <w:rStyle w:val="Hyperlink0"/>
        </w:rPr>
        <w:lastRenderedPageBreak/>
        <w:t>-</w:t>
      </w:r>
      <w:r>
        <w:rPr>
          <w:rStyle w:val="Hyperlink0"/>
        </w:rPr>
        <w:tab/>
        <w:t xml:space="preserve">Duplex method. Most of FR1 high-frequency bands are TDD and all the terrestrial FR2 bands are also TDD. Thus, the same TDD duplexing method can be assumed also for 14.8-15.3GHz.  </w:t>
      </w:r>
    </w:p>
    <w:p w14:paraId="2B35E15B" w14:textId="16A69E81" w:rsidR="00BF7794" w:rsidRDefault="00000000">
      <w:pPr>
        <w:pStyle w:val="B1"/>
      </w:pPr>
      <w:r>
        <w:rPr>
          <w:rStyle w:val="Hyperlink0"/>
        </w:rPr>
        <w:t>-</w:t>
      </w:r>
      <w:r>
        <w:rPr>
          <w:rStyle w:val="Hyperlink0"/>
        </w:rPr>
        <w:tab/>
        <w:t>Channel and signal bandwidth. The FR1 maximum single carrier channel bandwidth is 100MHz, and in the previous studies for the 10-10.5GHz 3GPP also indicated that 100MHz can be assumed for further co-existence analysis. From that perspective we believe that 100MHz or lager can be assumed for 14.8-15.3GHz.  The exact channel bandwidths be further discussed when 3GPP starts devising the corresponding system parameters for this range.</w:t>
      </w:r>
    </w:p>
    <w:p w14:paraId="4D1327B1" w14:textId="77777777" w:rsidR="00BF7794" w:rsidRDefault="00000000">
      <w:pPr>
        <w:pStyle w:val="B1"/>
      </w:pPr>
      <w:r>
        <w:rPr>
          <w:rStyle w:val="Hyperlink0"/>
        </w:rPr>
        <w:t>-</w:t>
      </w:r>
      <w:r>
        <w:rPr>
          <w:rStyle w:val="Hyperlink0"/>
        </w:rPr>
        <w:tab/>
        <w:t xml:space="preserve">Power dynamic range. This range is determined as the total range between the minimum and the maximum transmission power. </w:t>
      </w:r>
    </w:p>
    <w:p w14:paraId="72E67DA6" w14:textId="77777777" w:rsidR="00BF7794" w:rsidRDefault="00000000">
      <w:pPr>
        <w:pStyle w:val="B1"/>
      </w:pPr>
      <w:r>
        <w:rPr>
          <w:rStyle w:val="Hyperlink0"/>
        </w:rPr>
        <w:t>-</w:t>
      </w:r>
      <w:r>
        <w:rPr>
          <w:rStyle w:val="Hyperlink0"/>
        </w:rPr>
        <w:tab/>
        <w:t>Spectral mask and spurious emissions. The generic 3GPP spectral mask with the general requirements for the out-of-band emissions can be also applicable to 14.8-15.3GHz range.</w:t>
      </w:r>
    </w:p>
    <w:p w14:paraId="0F6F4D08" w14:textId="77777777" w:rsidR="00BF7794" w:rsidRDefault="00000000">
      <w:pPr>
        <w:pStyle w:val="B1"/>
      </w:pPr>
      <w:r>
        <w:rPr>
          <w:rStyle w:val="Hyperlink0"/>
        </w:rPr>
        <w:t>-</w:t>
      </w:r>
      <w:r>
        <w:rPr>
          <w:rStyle w:val="Hyperlink0"/>
        </w:rPr>
        <w:tab/>
        <w:t xml:space="preserve">ACLR. According to the previous 3GPP studies in TR 38.921, sub-clause 7.1.3, it was agreed to consider 24dB ACLR for the 10-10.5GHz range. On the contrary to it, existing FR1 bands have 32dB ACLR. Thus, more studies are needed to conclude on the appropriate ACLR value for this range. </w:t>
      </w:r>
    </w:p>
    <w:p w14:paraId="3BEAEBF8" w14:textId="77777777" w:rsidR="00BF7794" w:rsidRDefault="00000000">
      <w:pPr>
        <w:pStyle w:val="B1"/>
      </w:pPr>
      <w:r>
        <w:rPr>
          <w:rStyle w:val="Hyperlink0"/>
        </w:rPr>
        <w:t>-</w:t>
      </w:r>
      <w:r>
        <w:rPr>
          <w:rStyle w:val="Hyperlink0"/>
        </w:rPr>
        <w:tab/>
        <w:t>Maximum output power. PC3 +23dBm is the baseline power class, which can be also assumed for this frequency range.</w:t>
      </w:r>
    </w:p>
    <w:p w14:paraId="3E6B6E8C" w14:textId="77777777" w:rsidR="00BF7794" w:rsidRDefault="00000000">
      <w:pPr>
        <w:pStyle w:val="B1"/>
      </w:pPr>
      <w:r>
        <w:rPr>
          <w:rStyle w:val="Hyperlink0"/>
        </w:rPr>
        <w:t>-</w:t>
      </w:r>
      <w:r>
        <w:rPr>
          <w:rStyle w:val="Hyperlink0"/>
        </w:rPr>
        <w:tab/>
        <w:t>Noise figure. Referring to TR 38.921, "</w:t>
      </w:r>
      <w:r>
        <w:rPr>
          <w:rStyle w:val="None"/>
          <w:i/>
          <w:iCs/>
        </w:rPr>
        <w:t>The noise figure of 9 dB is the baseline assumption and 13 dB is the optional assumption for co-existence study for 6425 – 7125 MHz and 10-10.5GHz</w:t>
      </w:r>
      <w:r>
        <w:rPr>
          <w:rStyle w:val="Hyperlink0"/>
        </w:rPr>
        <w:t>". Furthermore, a noise figure in the [9, 13] dB interval was finally agreed for reporting to ITU WP5D sharing studies. Referring to our considerations on 7.1-8.4GHz, that range may have noise figure of 13dB because for instance band n104 already has noise figure of 12dB. From that perspective 14.8-15.25GHz range might have even a higher noise figure of 14dB.</w:t>
      </w:r>
    </w:p>
    <w:p w14:paraId="3A7CC874" w14:textId="77777777" w:rsidR="00BF7794" w:rsidRDefault="00000000">
      <w:pPr>
        <w:pStyle w:val="B1"/>
      </w:pPr>
      <w:r>
        <w:rPr>
          <w:rStyle w:val="Hyperlink0"/>
        </w:rPr>
        <w:t>-</w:t>
      </w:r>
      <w:r>
        <w:rPr>
          <w:rStyle w:val="Hyperlink0"/>
        </w:rPr>
        <w:tab/>
        <w:t>Sensitivity. The exact value for the UE sensitivity, or REFSENS, can be determined only when 3GPP assumes on how many Rx chains are used. However, this parameter is not strictly needed for the WP5D co-existence studies. During the previous study cycle on 6.4-7.1GHz and 10-10.5GHz this parameter was marked "</w:t>
      </w:r>
      <w:r>
        <w:rPr>
          <w:rStyle w:val="None"/>
          <w:i/>
          <w:iCs/>
        </w:rPr>
        <w:t>to be specified</w:t>
      </w:r>
      <w:r>
        <w:rPr>
          <w:rStyle w:val="Hyperlink0"/>
        </w:rPr>
        <w:t>" (see Annex A). It was also noted in the LS that "</w:t>
      </w:r>
      <w:r>
        <w:rPr>
          <w:rStyle w:val="None"/>
          <w:i/>
          <w:iCs/>
        </w:rPr>
        <w:t>These are parameters pending detailed specification work that would not impact sharing and compatibility studies</w:t>
      </w:r>
      <w:r>
        <w:rPr>
          <w:rStyle w:val="Hyperlink0"/>
        </w:rPr>
        <w:t xml:space="preserve">".  </w:t>
      </w:r>
    </w:p>
    <w:p w14:paraId="6022CA94" w14:textId="77777777" w:rsidR="00BF7794" w:rsidRDefault="00000000">
      <w:pPr>
        <w:pStyle w:val="B1"/>
      </w:pPr>
      <w:r>
        <w:rPr>
          <w:rStyle w:val="Hyperlink0"/>
        </w:rPr>
        <w:t>-</w:t>
      </w:r>
      <w:r>
        <w:rPr>
          <w:rStyle w:val="Hyperlink0"/>
        </w:rPr>
        <w:tab/>
        <w:t>Blocking response. The 3GPP in-band and out-of-band blocking requirements from high-frequency bands, such as n79 and n104, can be applied also to this range.</w:t>
      </w:r>
    </w:p>
    <w:p w14:paraId="31C271B3" w14:textId="77777777" w:rsidR="00BF7794" w:rsidRDefault="00000000">
      <w:pPr>
        <w:pStyle w:val="B1"/>
      </w:pPr>
      <w:r>
        <w:rPr>
          <w:rStyle w:val="Hyperlink0"/>
        </w:rPr>
        <w:t>-</w:t>
      </w:r>
      <w:r>
        <w:rPr>
          <w:rStyle w:val="Hyperlink0"/>
        </w:rPr>
        <w:tab/>
        <w:t>ACS. Referring to sub-clause 7.2.4 in TR 38.921, the ACS value of 31dBc is assumed for 10-10.5 GHz. Since the considered range of 14.8-15.35GHz has even higher frequency, it can be studied further whether to proceed with 31dBc or whether even a smaller ACS value can be assumed.</w:t>
      </w:r>
    </w:p>
    <w:p w14:paraId="0B90A304" w14:textId="77777777" w:rsidR="00BF7794" w:rsidRDefault="00000000">
      <w:pPr>
        <w:pStyle w:val="B1"/>
      </w:pPr>
      <w:r>
        <w:rPr>
          <w:rStyle w:val="Hyperlink0"/>
        </w:rPr>
        <w:t>-</w:t>
      </w:r>
      <w:r>
        <w:rPr>
          <w:rStyle w:val="Hyperlink0"/>
        </w:rPr>
        <w:tab/>
        <w:t>SINR operating range. The same SINR operating range as in the previous 3GPP IMT studies can be assumed.</w:t>
      </w:r>
    </w:p>
    <w:p w14:paraId="46CA92C4" w14:textId="77777777" w:rsidR="00BF7794" w:rsidRDefault="00000000">
      <w:pPr>
        <w:pStyle w:val="Body"/>
      </w:pPr>
      <w:r>
        <w:rPr>
          <w:rStyle w:val="Hyperlink0"/>
        </w:rPr>
        <w:t xml:space="preserve"> </w:t>
      </w:r>
    </w:p>
    <w:p w14:paraId="646D3986" w14:textId="77777777" w:rsidR="00BF7794" w:rsidRDefault="00000000">
      <w:pPr>
        <w:pStyle w:val="TH"/>
      </w:pPr>
      <w:r>
        <w:rPr>
          <w:rStyle w:val="Hyperlink0"/>
        </w:rPr>
        <w:t>Table 2-1: IMT parameters for 14800-15350MHz (UE only)</w:t>
      </w:r>
    </w:p>
    <w:tbl>
      <w:tblPr>
        <w:tblW w:w="96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586"/>
        <w:gridCol w:w="2635"/>
        <w:gridCol w:w="1458"/>
        <w:gridCol w:w="1602"/>
        <w:gridCol w:w="3353"/>
      </w:tblGrid>
      <w:tr w:rsidR="00BF7794" w14:paraId="4A6330B4" w14:textId="77777777">
        <w:trPr>
          <w:trHeight w:val="442"/>
          <w:tblHeader/>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44BF18" w14:textId="77777777" w:rsidR="00BF7794" w:rsidRDefault="00000000">
            <w:pPr>
              <w:pStyle w:val="Body"/>
              <w:keepNext/>
              <w:spacing w:before="80" w:after="80"/>
              <w:jc w:val="center"/>
            </w:pPr>
            <w:r>
              <w:rPr>
                <w:rStyle w:val="None"/>
                <w:b/>
                <w:bCs/>
                <w:lang w:val="en-US"/>
              </w:rPr>
              <w:t>No.</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63C765" w14:textId="77777777" w:rsidR="00BF7794" w:rsidRDefault="00000000">
            <w:pPr>
              <w:pStyle w:val="Body"/>
              <w:keepNext/>
              <w:spacing w:before="80" w:after="80"/>
              <w:jc w:val="center"/>
            </w:pPr>
            <w:r>
              <w:rPr>
                <w:rStyle w:val="None"/>
                <w:b/>
                <w:bCs/>
                <w:lang w:val="en-US"/>
              </w:rPr>
              <w:t>Parameter</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E55910" w14:textId="77777777" w:rsidR="00BF7794" w:rsidRDefault="00000000">
            <w:pPr>
              <w:pStyle w:val="Body"/>
              <w:keepNext/>
              <w:spacing w:before="80" w:after="80"/>
              <w:jc w:val="center"/>
            </w:pPr>
            <w:r>
              <w:rPr>
                <w:rStyle w:val="None"/>
                <w:b/>
                <w:bCs/>
                <w:lang w:val="en-US"/>
              </w:rPr>
              <w:t xml:space="preserve">Base station </w:t>
            </w:r>
            <w:r>
              <w:rPr>
                <w:rStyle w:val="None"/>
                <w:b/>
                <w:bCs/>
                <w:lang w:val="en-US"/>
              </w:rPr>
              <w:br/>
              <w:t>(non-AAS)</w:t>
            </w: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969FD1" w14:textId="77777777" w:rsidR="00BF7794" w:rsidRDefault="00000000">
            <w:pPr>
              <w:pStyle w:val="Body"/>
              <w:keepNext/>
              <w:tabs>
                <w:tab w:val="left" w:pos="1205"/>
              </w:tabs>
              <w:spacing w:before="80" w:after="80"/>
              <w:jc w:val="center"/>
            </w:pPr>
            <w:r>
              <w:rPr>
                <w:rStyle w:val="None"/>
                <w:b/>
                <w:bCs/>
                <w:lang w:val="en-US"/>
              </w:rPr>
              <w:t xml:space="preserve">Base station </w:t>
            </w:r>
            <w:r>
              <w:rPr>
                <w:rStyle w:val="None"/>
                <w:b/>
                <w:bCs/>
                <w:lang w:val="en-US"/>
              </w:rPr>
              <w:br/>
              <w:t>(AAS)</w:t>
            </w: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7DE913" w14:textId="77777777" w:rsidR="00BF7794" w:rsidRDefault="00000000">
            <w:pPr>
              <w:pStyle w:val="Body"/>
              <w:keepNext/>
              <w:spacing w:before="80" w:after="80"/>
              <w:jc w:val="center"/>
            </w:pPr>
            <w:r>
              <w:rPr>
                <w:rStyle w:val="None"/>
                <w:b/>
                <w:bCs/>
                <w:lang w:val="en-US"/>
              </w:rPr>
              <w:t>Mobile station</w:t>
            </w:r>
          </w:p>
        </w:tc>
      </w:tr>
      <w:tr w:rsidR="00BF7794" w14:paraId="274BE968"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91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0360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Duplex Method</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528AB"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1391"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8DA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TDD</w:t>
            </w:r>
          </w:p>
        </w:tc>
      </w:tr>
      <w:tr w:rsidR="00BF7794" w14:paraId="057B42C9"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F4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002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Channel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C28F6"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9C54EF"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73406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[100MHz or larger]</w:t>
            </w:r>
            <w:r>
              <w:rPr>
                <w:rStyle w:val="None"/>
                <w:lang w:val="en-US"/>
              </w:rPr>
              <w:t xml:space="preserve"> </w:t>
            </w:r>
          </w:p>
        </w:tc>
      </w:tr>
      <w:tr w:rsidR="00BF7794" w14:paraId="4BFB0B2A" w14:textId="77777777">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BA7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34F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Signal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B2FF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AF13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49B7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 xml:space="preserve">Derived from Channel Bandwidth: </w:t>
            </w:r>
          </w:p>
          <w:p w14:paraId="184C8E4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Signal bandwidth = NRB × SCS × 12</w:t>
            </w:r>
          </w:p>
        </w:tc>
      </w:tr>
      <w:tr w:rsidR="00BF7794" w14:paraId="7C932B8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82E2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ED36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Transmitter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41C6D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76735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3716D" w14:textId="77777777" w:rsidR="00BF7794" w:rsidRDefault="00BF7794"/>
        </w:tc>
      </w:tr>
      <w:tr w:rsidR="00BF7794" w14:paraId="75302C38"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8C39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4358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61BF6"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94BD"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E617E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[53dB]</w:t>
            </w:r>
          </w:p>
        </w:tc>
      </w:tr>
      <w:tr w:rsidR="00BF7794" w14:paraId="6D558FE3"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D53C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lastRenderedPageBreak/>
              <w:t>4.2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5029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14542"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A5C1"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5C07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6.5.2.2, Table 6.5.2.2-1.</w:t>
            </w:r>
          </w:p>
        </w:tc>
      </w:tr>
      <w:tr w:rsidR="00BF7794" w14:paraId="070AB435" w14:textId="77777777">
        <w:tblPrEx>
          <w:shd w:val="clear" w:color="auto" w:fill="CDD4E9"/>
        </w:tblPrEx>
        <w:trPr>
          <w:trHeight w:val="7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DDE9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0381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ACLR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05AFC4"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34B604"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3779B1"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Depends on the UE power class.</w:t>
            </w:r>
          </w:p>
          <w:p w14:paraId="654444A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[FFS] dB for PC3</w:t>
            </w:r>
          </w:p>
        </w:tc>
      </w:tr>
      <w:tr w:rsidR="00BF7794" w14:paraId="1358AA47"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FFA3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E18B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 /out of band emissions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A637E9"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BBB7EB"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8B76C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6.5.3.1</w:t>
            </w:r>
          </w:p>
        </w:tc>
      </w:tr>
      <w:tr w:rsidR="00BF7794" w14:paraId="1D2427D5"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9348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18EA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 output power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AE54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9ABC2"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EED5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PC3 +23dBm</w:t>
            </w:r>
          </w:p>
        </w:tc>
      </w:tr>
      <w:tr w:rsidR="00BF7794" w14:paraId="209BE8D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8C8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56B1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Receiver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99F3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E606A"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B560" w14:textId="77777777" w:rsidR="00BF7794" w:rsidRDefault="00BF7794"/>
        </w:tc>
      </w:tr>
      <w:tr w:rsidR="00BF7794" w14:paraId="19A91407"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F2B3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A751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9BF9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85A28"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750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[14 dB]</w:t>
            </w:r>
          </w:p>
        </w:tc>
      </w:tr>
      <w:tr w:rsidR="00BF7794" w14:paraId="2F7C5F90"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200E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84AE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0665"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50F2F"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4444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Depends on the configured channel bandwidth and SCS. </w:t>
            </w:r>
          </w:p>
        </w:tc>
      </w:tr>
      <w:tr w:rsidR="00BF7794" w14:paraId="51219FD3"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AF63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5AE0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Blocking response</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D01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4B72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15A1"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[TBD]</w:t>
            </w:r>
          </w:p>
        </w:tc>
      </w:tr>
      <w:tr w:rsidR="00BF7794" w14:paraId="61D07CB7"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D2F6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1574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DB068"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46A"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A202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[FFS] dB</w:t>
            </w:r>
          </w:p>
        </w:tc>
      </w:tr>
      <w:tr w:rsidR="00BF7794" w14:paraId="1D3C8BBE" w14:textId="77777777">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D5EA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6302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E0F938"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C598A8"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E51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DL: -10..30 dB</w:t>
            </w:r>
          </w:p>
          <w:p w14:paraId="3B0A827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UL: -10..22 dB</w:t>
            </w:r>
          </w:p>
        </w:tc>
      </w:tr>
    </w:tbl>
    <w:p w14:paraId="36C9B072" w14:textId="77777777" w:rsidR="00BF7794" w:rsidRDefault="00BF7794">
      <w:pPr>
        <w:pStyle w:val="TH"/>
        <w:widowControl w:val="0"/>
      </w:pPr>
    </w:p>
    <w:p w14:paraId="7282D6A2" w14:textId="3268ABEA" w:rsidR="00EB3C40" w:rsidRDefault="00EB3C40">
      <w:pPr>
        <w:rPr>
          <w:rFonts w:cs="Arial Unicode MS"/>
          <w:color w:val="000000"/>
          <w:sz w:val="20"/>
          <w:szCs w:val="20"/>
          <w:u w:color="000000"/>
          <w:lang w:val="en-DE" w:eastAsia="ko-KR"/>
          <w14:textOutline w14:w="0" w14:cap="flat" w14:cmpd="sng" w14:algn="ctr">
            <w14:noFill/>
            <w14:prstDash w14:val="solid"/>
            <w14:bevel/>
          </w14:textOutline>
        </w:rPr>
      </w:pPr>
      <w:r>
        <w:br w:type="page"/>
      </w:r>
    </w:p>
    <w:p w14:paraId="7497F397" w14:textId="77777777" w:rsidR="00BF7794" w:rsidRDefault="00BF7794">
      <w:pPr>
        <w:pStyle w:val="Body"/>
      </w:pPr>
    </w:p>
    <w:p w14:paraId="20710129" w14:textId="77777777" w:rsidR="00BF7794" w:rsidRDefault="00BF7794">
      <w:pPr>
        <w:pStyle w:val="Body"/>
      </w:pPr>
    </w:p>
    <w:p w14:paraId="2A46428F" w14:textId="77777777" w:rsidR="00BF7794" w:rsidRDefault="00BF7794">
      <w:pPr>
        <w:pStyle w:val="Body"/>
      </w:pPr>
    </w:p>
    <w:p w14:paraId="6474386C" w14:textId="77777777" w:rsidR="00BF7794" w:rsidRDefault="00000000">
      <w:pPr>
        <w:pStyle w:val="Heading"/>
      </w:pPr>
      <w:r>
        <w:rPr>
          <w:rStyle w:val="Hyperlink0"/>
          <w:lang w:val="fr-FR"/>
        </w:rPr>
        <w:t>3</w:t>
      </w:r>
      <w:r>
        <w:rPr>
          <w:rStyle w:val="Hyperlink0"/>
          <w:lang w:val="fr-FR"/>
        </w:rPr>
        <w:tab/>
        <w:t>Conclusions</w:t>
      </w:r>
    </w:p>
    <w:p w14:paraId="59A56438" w14:textId="29A6486B" w:rsidR="00BF7794" w:rsidRDefault="00000000">
      <w:pPr>
        <w:pStyle w:val="Body"/>
      </w:pPr>
      <w:r>
        <w:rPr>
          <w:rStyle w:val="Hyperlink0"/>
          <w:lang w:val="en-US"/>
        </w:rPr>
        <w:t xml:space="preserve">In this discussion paper we have presented our initial view on the IMT technical parameters for the 14800-15350MHz range as tasked by ITU-R WP5D. Since 3GPP already did some studies for the 10-10.5GHz range, we believe that some of the technical parameters can be re-used from that range. </w:t>
      </w:r>
      <w:r w:rsidR="00260726">
        <w:rPr>
          <w:rStyle w:val="Hyperlink0"/>
          <w:lang w:val="en-US"/>
        </w:rPr>
        <w:t>Furthermore, we presented our further considerations on the potential UE RF architecture for this frequency range</w:t>
      </w:r>
      <w:r>
        <w:rPr>
          <w:rStyle w:val="Hyperlink0"/>
          <w:lang w:val="en-US"/>
        </w:rPr>
        <w:t>.</w:t>
      </w:r>
      <w:r w:rsidR="009C5CBD">
        <w:rPr>
          <w:rStyle w:val="Hyperlink0"/>
          <w:lang w:val="en-US"/>
        </w:rPr>
        <w:t xml:space="preserve"> The corresponding TP for the UE side IMT parameters can be found in [</w:t>
      </w:r>
      <w:r w:rsidR="009C5CBD">
        <w:rPr>
          <w:rStyle w:val="Hyperlink0"/>
          <w:lang w:val="en-US"/>
        </w:rPr>
        <w:fldChar w:fldCharType="begin"/>
      </w:r>
      <w:r w:rsidR="009C5CBD">
        <w:rPr>
          <w:rStyle w:val="Hyperlink0"/>
          <w:lang w:val="en-US"/>
        </w:rPr>
        <w:instrText xml:space="preserve"> REF _Ref166509804 \r \h </w:instrText>
      </w:r>
      <w:r w:rsidR="009C5CBD">
        <w:rPr>
          <w:rStyle w:val="Hyperlink0"/>
          <w:lang w:val="en-US"/>
        </w:rPr>
      </w:r>
      <w:r w:rsidR="009C5CBD">
        <w:rPr>
          <w:rStyle w:val="Hyperlink0"/>
          <w:lang w:val="en-US"/>
        </w:rPr>
        <w:fldChar w:fldCharType="separate"/>
      </w:r>
      <w:r w:rsidR="009C5CBD">
        <w:rPr>
          <w:rStyle w:val="Hyperlink0"/>
          <w:lang w:val="en-US"/>
        </w:rPr>
        <w:t>5</w:t>
      </w:r>
      <w:r w:rsidR="009C5CBD">
        <w:rPr>
          <w:rStyle w:val="Hyperlink0"/>
          <w:lang w:val="en-US"/>
        </w:rPr>
        <w:fldChar w:fldCharType="end"/>
      </w:r>
      <w:r w:rsidR="009C5CBD">
        <w:rPr>
          <w:rStyle w:val="Hyperlink0"/>
          <w:lang w:val="en-US"/>
        </w:rPr>
        <w:t xml:space="preserve">]. </w:t>
      </w:r>
    </w:p>
    <w:p w14:paraId="3902A225" w14:textId="77777777" w:rsidR="00BF7794" w:rsidRDefault="00BF7794">
      <w:pPr>
        <w:pStyle w:val="Body"/>
        <w:spacing w:after="0"/>
      </w:pPr>
    </w:p>
    <w:p w14:paraId="35132B33" w14:textId="77777777" w:rsidR="00BF7794" w:rsidRPr="005839AB" w:rsidRDefault="00000000">
      <w:pPr>
        <w:pStyle w:val="Heading"/>
        <w:rPr>
          <w:lang w:val="en-US"/>
        </w:rPr>
      </w:pPr>
      <w:r>
        <w:rPr>
          <w:rStyle w:val="Hyperlink0"/>
          <w:lang w:val="fr-FR"/>
        </w:rPr>
        <w:t>4</w:t>
      </w:r>
      <w:r>
        <w:rPr>
          <w:rStyle w:val="Hyperlink0"/>
          <w:lang w:val="fr-FR"/>
        </w:rPr>
        <w:tab/>
      </w:r>
      <w:r w:rsidRPr="005839AB">
        <w:rPr>
          <w:rStyle w:val="Hyperlink0"/>
          <w:lang w:val="en-US"/>
        </w:rPr>
        <w:t>References</w:t>
      </w:r>
    </w:p>
    <w:p w14:paraId="3B6D217D" w14:textId="77777777" w:rsidR="00BF7794" w:rsidRDefault="00000000">
      <w:pPr>
        <w:pStyle w:val="EX"/>
        <w:numPr>
          <w:ilvl w:val="0"/>
          <w:numId w:val="2"/>
        </w:numPr>
      </w:pPr>
      <w:bookmarkStart w:id="2" w:name="_Ref162377034"/>
      <w:r>
        <w:rPr>
          <w:rStyle w:val="Hyperlink0"/>
          <w:rFonts w:eastAsia="Arial Unicode MS" w:cs="Arial Unicode MS"/>
        </w:rPr>
        <w:t>RP-240024, "LS on Parameters of terrestrial component of IMT for sharing and compatibility studies in the frequency bands 4400-4800 MHz, 7125-8400 MHz and 14.8-15.35 GHz", ITU-R WP5D</w:t>
      </w:r>
      <w:bookmarkEnd w:id="2"/>
      <w:r>
        <w:rPr>
          <w:rStyle w:val="Hyperlink0"/>
          <w:rFonts w:eastAsia="Arial Unicode MS" w:cs="Arial Unicode MS"/>
        </w:rPr>
        <w:t xml:space="preserve"> </w:t>
      </w:r>
    </w:p>
    <w:p w14:paraId="64AA89B5" w14:textId="77777777" w:rsidR="00BF7794" w:rsidRDefault="00000000">
      <w:pPr>
        <w:pStyle w:val="EX"/>
        <w:numPr>
          <w:ilvl w:val="0"/>
          <w:numId w:val="2"/>
        </w:numPr>
      </w:pPr>
      <w:bookmarkStart w:id="3" w:name="_Ref162377069"/>
      <w:r>
        <w:rPr>
          <w:rStyle w:val="Hyperlink0"/>
          <w:rFonts w:eastAsia="Arial Unicode MS" w:cs="Arial Unicode MS"/>
        </w:rPr>
        <w:t>R4-2102840, "LS on Parameters of terrestrial component of IMT for sharing and compatibility studies in preparation for WRC-23 (6.425 to 10.5 GHz)", RAN WG4.</w:t>
      </w:r>
      <w:bookmarkEnd w:id="3"/>
    </w:p>
    <w:p w14:paraId="7D71C1A9" w14:textId="77777777" w:rsidR="00BF7794" w:rsidRDefault="00000000">
      <w:pPr>
        <w:pStyle w:val="EX"/>
        <w:numPr>
          <w:ilvl w:val="0"/>
          <w:numId w:val="2"/>
        </w:numPr>
      </w:pPr>
      <w:bookmarkStart w:id="4" w:name="_Ref162376902"/>
      <w:r>
        <w:rPr>
          <w:rStyle w:val="Hyperlink0"/>
          <w:rFonts w:eastAsia="Arial Unicode MS" w:cs="Arial Unicode MS"/>
        </w:rPr>
        <w:t>RP-240765, "Study on IMT parameters for 4400 to 4800 MHz, 7125 to 8400 MHz and 14800 to 15350 MHz"</w:t>
      </w:r>
      <w:bookmarkEnd w:id="4"/>
    </w:p>
    <w:p w14:paraId="101F7997" w14:textId="77777777" w:rsidR="00BF7794" w:rsidRPr="009C5CBD" w:rsidRDefault="00000000">
      <w:pPr>
        <w:pStyle w:val="EX"/>
        <w:numPr>
          <w:ilvl w:val="0"/>
          <w:numId w:val="2"/>
        </w:numPr>
        <w:rPr>
          <w:rStyle w:val="Hyperlink0"/>
        </w:rPr>
      </w:pPr>
      <w:bookmarkStart w:id="5" w:name="_Ref162376889"/>
      <w:r>
        <w:rPr>
          <w:rStyle w:val="Hyperlink0"/>
          <w:rFonts w:eastAsia="Arial Unicode MS" w:cs="Arial Unicode MS"/>
        </w:rPr>
        <w:t>3GPP TR 38.921, "Study on International Mobile Telecommunications (IMT) parameters for 6.425-7.025GHz, 7.025-7.125GHz and 10.0-10.5 GHz", v17.1.0</w:t>
      </w:r>
      <w:bookmarkEnd w:id="5"/>
    </w:p>
    <w:p w14:paraId="53B5DAC9" w14:textId="1D5D63AC" w:rsidR="009C5CBD" w:rsidRDefault="009C5CBD">
      <w:pPr>
        <w:pStyle w:val="EX"/>
        <w:numPr>
          <w:ilvl w:val="0"/>
          <w:numId w:val="2"/>
        </w:numPr>
      </w:pPr>
      <w:bookmarkStart w:id="6" w:name="_Ref166509804"/>
      <w:r w:rsidRPr="009C5CBD">
        <w:t>R4-2407053</w:t>
      </w:r>
      <w:r>
        <w:t>, "</w:t>
      </w:r>
      <w:r w:rsidRPr="009C5CBD">
        <w:t>TP for 38.922 on UE IMT parameters for 14800-15350MHz</w:t>
      </w:r>
      <w:r>
        <w:t>", Apple</w:t>
      </w:r>
      <w:bookmarkEnd w:id="6"/>
    </w:p>
    <w:p w14:paraId="22885FD0" w14:textId="77777777" w:rsidR="00BF7794" w:rsidRDefault="00000000">
      <w:pPr>
        <w:pStyle w:val="Body"/>
        <w:spacing w:after="0"/>
      </w:pPr>
      <w:r>
        <w:rPr>
          <w:rStyle w:val="Hyperlink0"/>
          <w:rFonts w:ascii="Arial Unicode MS" w:hAnsi="Arial Unicode MS"/>
        </w:rPr>
        <w:br w:type="page"/>
      </w:r>
    </w:p>
    <w:p w14:paraId="64D06CC0" w14:textId="77777777" w:rsidR="00BF7794" w:rsidRDefault="00000000">
      <w:pPr>
        <w:pStyle w:val="Heading8"/>
      </w:pPr>
      <w:r>
        <w:rPr>
          <w:rStyle w:val="Hyperlink0"/>
        </w:rPr>
        <w:lastRenderedPageBreak/>
        <w:t>Annex A: IMT-2020 technology-related and deployment-related parameters for bands between in 6425 to 7125 MHz and 10 to 10.5 GHz</w:t>
      </w:r>
    </w:p>
    <w:p w14:paraId="2AE8F8D0" w14:textId="77777777" w:rsidR="00BF7794" w:rsidRDefault="00000000">
      <w:pPr>
        <w:pStyle w:val="TableNo"/>
        <w:rPr>
          <w:rStyle w:val="None"/>
        </w:rPr>
      </w:pPr>
      <w:r>
        <w:rPr>
          <w:rStyle w:val="None"/>
        </w:rPr>
        <w:t>TABLE 3A</w:t>
      </w:r>
    </w:p>
    <w:p w14:paraId="469E0F17" w14:textId="77777777" w:rsidR="00BF7794" w:rsidRDefault="00000000">
      <w:pPr>
        <w:pStyle w:val="Tabletitle"/>
        <w:rPr>
          <w:rStyle w:val="None"/>
        </w:rPr>
      </w:pPr>
      <w:r>
        <w:rPr>
          <w:rStyle w:val="None"/>
        </w:rPr>
        <w:t>IMT-2020 technology related parameters in 6425 – 7125 MHz and 10 – 10.5 GHz</w:t>
      </w:r>
    </w:p>
    <w:tbl>
      <w:tblPr>
        <w:tblW w:w="963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1050"/>
        <w:gridCol w:w="2504"/>
        <w:gridCol w:w="3644"/>
        <w:gridCol w:w="2433"/>
      </w:tblGrid>
      <w:tr w:rsidR="00BF7794" w14:paraId="7B9E114E" w14:textId="77777777">
        <w:trPr>
          <w:trHeight w:val="369"/>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5C2CB" w14:textId="77777777" w:rsidR="00BF7794" w:rsidRDefault="00BF7794"/>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ACA1" w14:textId="77777777" w:rsidR="00BF7794" w:rsidRDefault="00BF7794"/>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16FE2" w14:textId="77777777" w:rsidR="00BF7794" w:rsidRDefault="00000000">
            <w:pPr>
              <w:pStyle w:val="Tablehead"/>
            </w:pPr>
            <w:r>
              <w:rPr>
                <w:rStyle w:val="None"/>
              </w:rPr>
              <w:t xml:space="preserve">IMT </w:t>
            </w:r>
          </w:p>
        </w:tc>
      </w:tr>
      <w:tr w:rsidR="00BF7794" w14:paraId="4A2BDE7B" w14:textId="77777777">
        <w:trPr>
          <w:trHeight w:val="662"/>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E63A" w14:textId="77777777" w:rsidR="00BF7794" w:rsidRDefault="00000000">
            <w:pPr>
              <w:pStyle w:val="Body"/>
              <w:keepNext/>
              <w:spacing w:before="40" w:after="40"/>
              <w:jc w:val="center"/>
            </w:pPr>
            <w:r>
              <w:rPr>
                <w:rStyle w:val="None"/>
                <w:b/>
                <w:bCs/>
                <w:color w:val="0F0F0F"/>
                <w:u w:color="0F0F0F"/>
                <w:lang w:val="en-US"/>
              </w:rPr>
              <w:t>No.</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39E2" w14:textId="77777777" w:rsidR="00BF7794" w:rsidRDefault="00000000">
            <w:pPr>
              <w:pStyle w:val="Body"/>
              <w:keepNext/>
              <w:spacing w:before="40" w:after="40"/>
              <w:jc w:val="center"/>
            </w:pPr>
            <w:r>
              <w:rPr>
                <w:rStyle w:val="None"/>
                <w:b/>
                <w:bCs/>
                <w:color w:val="0D0D0D"/>
                <w:u w:color="0D0D0D"/>
                <w:lang w:val="en-US"/>
              </w:rPr>
              <w:t>Parameter</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3B7D" w14:textId="77777777" w:rsidR="00BF7794" w:rsidRDefault="00BF7794">
            <w:pPr>
              <w:pStyle w:val="Body"/>
              <w:keepNext/>
              <w:spacing w:before="40" w:after="40"/>
              <w:jc w:val="center"/>
              <w:rPr>
                <w:rStyle w:val="None"/>
                <w:b/>
                <w:bCs/>
                <w:lang w:val="en-US"/>
              </w:rPr>
            </w:pPr>
          </w:p>
          <w:p w14:paraId="33130094" w14:textId="77777777" w:rsidR="00BF7794" w:rsidRDefault="00000000">
            <w:pPr>
              <w:pStyle w:val="Body"/>
              <w:keepNext/>
              <w:spacing w:before="40" w:after="40"/>
              <w:jc w:val="center"/>
            </w:pPr>
            <w:r>
              <w:rPr>
                <w:rStyle w:val="None"/>
                <w:b/>
                <w:bCs/>
                <w:color w:val="0C0C0C"/>
                <w:u w:color="0C0C0C"/>
                <w:lang w:val="en-US"/>
              </w:rPr>
              <w:t>Base station</w:t>
            </w:r>
            <w:r>
              <w:rPr>
                <w:rStyle w:val="None"/>
                <w:b/>
                <w:bCs/>
                <w:color w:val="0C0C0C"/>
                <w:u w:color="0C0C0C"/>
                <w:lang w:val="en-US"/>
              </w:rPr>
              <w:br/>
              <w:t>(AAS)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A0341" w14:textId="77777777" w:rsidR="00BF7794" w:rsidRDefault="00000000">
            <w:pPr>
              <w:pStyle w:val="Body"/>
              <w:keepNext/>
              <w:spacing w:before="40" w:after="40"/>
              <w:jc w:val="center"/>
            </w:pPr>
            <w:r>
              <w:rPr>
                <w:rStyle w:val="None"/>
                <w:b/>
                <w:bCs/>
                <w:color w:val="0C0C0C"/>
                <w:u w:color="0C0C0C"/>
                <w:lang w:val="en-US"/>
              </w:rPr>
              <w:t>Mobile station</w:t>
            </w:r>
          </w:p>
        </w:tc>
      </w:tr>
      <w:tr w:rsidR="00BF7794" w14:paraId="6ACF2D6C" w14:textId="77777777">
        <w:tblPrEx>
          <w:shd w:val="clear" w:color="auto" w:fill="CDD4E9"/>
        </w:tblPrEx>
        <w:trPr>
          <w:trHeight w:val="48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2F6EB" w14:textId="77777777" w:rsidR="00BF7794" w:rsidRDefault="00000000">
            <w:pPr>
              <w:pStyle w:val="Body"/>
              <w:keepNext/>
              <w:spacing w:before="40" w:after="40"/>
              <w:jc w:val="center"/>
            </w:pPr>
            <w:r>
              <w:rPr>
                <w:rStyle w:val="None"/>
                <w:b/>
                <w:bCs/>
                <w:color w:val="0F0F0F"/>
                <w:u w:color="0F0F0F"/>
                <w:lang w:val="en-US"/>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74DDE" w14:textId="77777777" w:rsidR="00BF7794" w:rsidRDefault="00000000">
            <w:pPr>
              <w:pStyle w:val="Body"/>
              <w:keepNext/>
              <w:spacing w:before="40" w:after="40"/>
            </w:pPr>
            <w:r>
              <w:rPr>
                <w:rStyle w:val="None"/>
                <w:b/>
                <w:bCs/>
                <w:color w:val="0D0D0D"/>
                <w:u w:color="0D0D0D"/>
                <w:lang w:val="en-US"/>
              </w:rPr>
              <w:t>Duplex Method</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650315D6" w14:textId="77777777" w:rsidR="00BF7794" w:rsidRDefault="00000000">
            <w:pPr>
              <w:pStyle w:val="Body"/>
              <w:keepNext/>
              <w:spacing w:before="40" w:after="40"/>
              <w:ind w:left="1134" w:hanging="1134"/>
              <w:jc w:val="center"/>
            </w:pPr>
            <w:r>
              <w:rPr>
                <w:rStyle w:val="None"/>
                <w:lang w:val="en-US"/>
              </w:rPr>
              <w:t>TDD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4269AAED" w14:textId="77777777" w:rsidR="00BF7794" w:rsidRDefault="00000000">
            <w:pPr>
              <w:pStyle w:val="Body"/>
              <w:keepNext/>
              <w:spacing w:before="40" w:after="40"/>
              <w:ind w:left="1134" w:hanging="1134"/>
              <w:jc w:val="center"/>
            </w:pPr>
            <w:r>
              <w:rPr>
                <w:rStyle w:val="None"/>
                <w:lang w:val="en-US"/>
              </w:rPr>
              <w:t>TDD</w:t>
            </w:r>
          </w:p>
        </w:tc>
      </w:tr>
      <w:tr w:rsidR="00BF7794" w14:paraId="6E3071C1"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E749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B44C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color w:val="0D0D0D"/>
                <w:u w:color="0D0D0D"/>
                <w:lang w:val="en-US"/>
              </w:rPr>
              <w:t>Channel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A7F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EB33D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r>
      <w:tr w:rsidR="00BF7794" w14:paraId="1188E52E" w14:textId="77777777">
        <w:tblPrEx>
          <w:shd w:val="clear" w:color="auto" w:fill="CDD4E9"/>
        </w:tblPrEx>
        <w:trPr>
          <w:trHeight w:val="8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8F13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AF82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Signal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E4E2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w:t>
            </w:r>
            <w:r>
              <w:rPr>
                <w:rStyle w:val="None"/>
                <w:lang w:val="en-US"/>
              </w:rPr>
              <w:br/>
              <w:t>Channel Bandwidth, see [1], § 5.3.2.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8F62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Channel Bandwidth, </w:t>
            </w:r>
            <w:r>
              <w:rPr>
                <w:rStyle w:val="None"/>
                <w:lang w:val="en-US"/>
              </w:rPr>
              <w:br/>
              <w:t xml:space="preserve">see [2], § 5.3.2. </w:t>
            </w:r>
          </w:p>
        </w:tc>
      </w:tr>
      <w:tr w:rsidR="00BF7794" w14:paraId="7FE5CBAD" w14:textId="77777777">
        <w:tblPrEx>
          <w:shd w:val="clear" w:color="auto" w:fill="CDD4E9"/>
        </w:tblPrEx>
        <w:trPr>
          <w:trHeight w:val="40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CDE7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636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Transmitter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146C82" w14:textId="77777777" w:rsidR="00BF7794" w:rsidRDefault="00BF7794"/>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93A320" w14:textId="77777777" w:rsidR="00BF7794" w:rsidRDefault="00BF7794"/>
        </w:tc>
      </w:tr>
      <w:tr w:rsidR="00BF7794" w14:paraId="50108889"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AF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ED9F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3C143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0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E18DF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56 dB</w:t>
            </w:r>
          </w:p>
        </w:tc>
      </w:tr>
      <w:tr w:rsidR="00BF7794" w14:paraId="56260853" w14:textId="77777777">
        <w:tblPrEx>
          <w:shd w:val="clear" w:color="auto" w:fill="CDD4E9"/>
        </w:tblPrEx>
        <w:trPr>
          <w:trHeight w:val="13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2CC0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333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E40D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 xml:space="preserve">See table 3B (Wide Area BS) </w:t>
            </w:r>
            <w:r>
              <w:rPr>
                <w:rStyle w:val="None"/>
                <w:lang w:val="en-US"/>
              </w:rPr>
              <w:br/>
              <w:t>(Δf</w:t>
            </w:r>
            <w:r>
              <w:rPr>
                <w:rStyle w:val="None"/>
                <w:vertAlign w:val="subscript"/>
                <w:lang w:val="en-US"/>
              </w:rPr>
              <w:t>OBUE</w:t>
            </w:r>
            <w:r>
              <w:rPr>
                <w:rStyle w:val="None"/>
                <w:lang w:val="en-US"/>
              </w:rPr>
              <w:t xml:space="preserve"> = 100 MHz)</w:t>
            </w:r>
          </w:p>
          <w:p w14:paraId="236B12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Category B: </w:t>
            </w:r>
            <w:r>
              <w:rPr>
                <w:rStyle w:val="None"/>
                <w:vertAlign w:val="superscript"/>
                <w:lang w:val="en-US"/>
              </w:rPr>
              <w:t>(Note 1)</w:t>
            </w:r>
            <w:r>
              <w:rPr>
                <w:rStyle w:val="None"/>
                <w:lang w:val="en-US"/>
              </w:rPr>
              <w:br/>
              <w:t xml:space="preserve">See table 3C (Wide Area BS) </w:t>
            </w:r>
            <w:r>
              <w:rPr>
                <w:rStyle w:val="None"/>
                <w:lang w:val="en-US"/>
              </w:rPr>
              <w:br/>
              <w:t>(Δf</w:t>
            </w:r>
            <w:r>
              <w:rPr>
                <w:rStyle w:val="None"/>
                <w:vertAlign w:val="subscript"/>
                <w:lang w:val="en-US"/>
              </w:rPr>
              <w:t>OBUE</w:t>
            </w:r>
            <w:r>
              <w:rPr>
                <w:rStyle w:val="None"/>
                <w:lang w:val="en-US"/>
              </w:rPr>
              <w:t xml:space="preserve"> = 100 MHz)</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76B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Table 3D</w:t>
            </w:r>
          </w:p>
        </w:tc>
      </w:tr>
      <w:tr w:rsidR="00BF7794" w14:paraId="6785F322"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A45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94C8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ACLR (dB)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04FA5A39" w14:textId="77777777" w:rsidR="00BF7794" w:rsidRDefault="00000000">
            <w:pPr>
              <w:pStyle w:val="Tabletext"/>
              <w:tabs>
                <w:tab w:val="clear" w:pos="1134"/>
                <w:tab w:val="left" w:pos="759"/>
              </w:tabs>
              <w:ind w:left="51" w:hanging="51"/>
              <w:jc w:val="center"/>
              <w:rPr>
                <w:rStyle w:val="None"/>
              </w:rPr>
            </w:pPr>
            <w:r>
              <w:rPr>
                <w:rStyle w:val="None"/>
              </w:rPr>
              <w:t>@6425 – 7125 MHz: 38 dB</w:t>
            </w:r>
          </w:p>
          <w:p w14:paraId="1363FB80" w14:textId="77777777" w:rsidR="00BF7794" w:rsidRDefault="00000000">
            <w:pPr>
              <w:pStyle w:val="Tabletext"/>
              <w:tabs>
                <w:tab w:val="clear" w:pos="1134"/>
                <w:tab w:val="left" w:pos="759"/>
              </w:tabs>
              <w:ind w:left="51" w:hanging="51"/>
              <w:jc w:val="center"/>
            </w:pPr>
            <w:r>
              <w:rPr>
                <w:rStyle w:val="None"/>
              </w:rPr>
              <w:t>@10-10.5 GHz: 37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7DB41937" w14:textId="77777777" w:rsidR="00BF7794" w:rsidRDefault="00000000">
            <w:pPr>
              <w:pStyle w:val="Tabletext"/>
              <w:tabs>
                <w:tab w:val="clear" w:pos="1134"/>
                <w:tab w:val="left" w:pos="759"/>
              </w:tabs>
              <w:ind w:left="51" w:hanging="51"/>
              <w:jc w:val="center"/>
              <w:rPr>
                <w:rStyle w:val="None"/>
              </w:rPr>
            </w:pPr>
            <w:r>
              <w:rPr>
                <w:rStyle w:val="None"/>
              </w:rPr>
              <w:t>@6425 – 7125 MHz: 26 dB</w:t>
            </w:r>
          </w:p>
          <w:p w14:paraId="01384A4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24 dB</w:t>
            </w:r>
          </w:p>
        </w:tc>
      </w:tr>
      <w:tr w:rsidR="00BF7794" w14:paraId="46ECE7E0" w14:textId="77777777">
        <w:tblPrEx>
          <w:shd w:val="clear" w:color="auto" w:fill="CDD4E9"/>
        </w:tblPrEx>
        <w:trPr>
          <w:trHeight w:val="16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56C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56D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1BD06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See [1], § 6.6.5, Table 6.6.5.2.1-1.</w:t>
            </w:r>
          </w:p>
          <w:p w14:paraId="1515AA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shd w:val="clear" w:color="auto" w:fill="00FFFF"/>
              </w:rPr>
            </w:pPr>
            <w:r>
              <w:rPr>
                <w:rStyle w:val="None"/>
                <w:lang w:val="en-US"/>
              </w:rPr>
              <w:t xml:space="preserve">Category B: </w:t>
            </w:r>
            <w:r>
              <w:rPr>
                <w:rStyle w:val="None"/>
                <w:vertAlign w:val="superscript"/>
                <w:lang w:val="en-US"/>
              </w:rPr>
              <w:t>(Note 1)</w:t>
            </w:r>
            <w:r>
              <w:rPr>
                <w:rStyle w:val="None"/>
                <w:lang w:val="en-US"/>
              </w:rPr>
              <w:t xml:space="preserve"> </w:t>
            </w:r>
            <w:r>
              <w:rPr>
                <w:rStyle w:val="None"/>
                <w:lang w:val="en-US"/>
              </w:rPr>
              <w:br/>
              <w:t>@6425 – 7125 MHz</w:t>
            </w:r>
            <w:r>
              <w:rPr>
                <w:rStyle w:val="None"/>
                <w:lang w:val="en-US"/>
              </w:rPr>
              <w:br/>
              <w:t>See [1], § 6.6.5, Table 6.6.5.2.1-2.</w:t>
            </w:r>
          </w:p>
          <w:p w14:paraId="7B4AF47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@10 – 10.5 GHz: </w:t>
            </w:r>
            <w:r>
              <w:rPr>
                <w:rStyle w:val="None"/>
                <w:lang w:val="en-US"/>
              </w:rPr>
              <w:br/>
              <w:t>See Table 3E</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1D6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[2], § 6.5.3.</w:t>
            </w:r>
          </w:p>
        </w:tc>
      </w:tr>
      <w:tr w:rsidR="00BF7794" w14:paraId="0F3D9A82" w14:textId="77777777">
        <w:tblPrEx>
          <w:shd w:val="clear" w:color="auto" w:fill="CDD4E9"/>
        </w:tblPrEx>
        <w:trPr>
          <w:trHeight w:val="6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656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7D36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Maximum/typical output power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D0D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Defined by the conducted power per antenna element, see entry 1.9 in Table 4 for typical values.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7BD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23 dBm</w:t>
            </w:r>
          </w:p>
        </w:tc>
      </w:tr>
      <w:tr w:rsidR="00BF7794" w14:paraId="54C93A0A" w14:textId="77777777">
        <w:tblPrEx>
          <w:shd w:val="clear" w:color="auto" w:fill="CDD4E9"/>
        </w:tblPrEx>
        <w:trPr>
          <w:trHeight w:val="454"/>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D37E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782F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Receiver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8584F" w14:textId="77777777" w:rsidR="00BF7794" w:rsidRDefault="00BF7794"/>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9DF9" w14:textId="77777777" w:rsidR="00BF7794" w:rsidRDefault="00BF7794"/>
        </w:tc>
      </w:tr>
      <w:tr w:rsidR="00BF7794" w14:paraId="21614221"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470A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lastRenderedPageBreak/>
              <w:t>5.1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229B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2EA6CE56" w14:textId="77777777" w:rsidR="00BF7794" w:rsidRDefault="00000000">
            <w:pPr>
              <w:pStyle w:val="Tabletext"/>
              <w:tabs>
                <w:tab w:val="clear" w:pos="1134"/>
                <w:tab w:val="left" w:pos="759"/>
              </w:tabs>
              <w:ind w:left="51" w:hanging="51"/>
              <w:jc w:val="center"/>
              <w:rPr>
                <w:rStyle w:val="None"/>
              </w:rPr>
            </w:pPr>
            <w:r>
              <w:rPr>
                <w:rStyle w:val="None"/>
              </w:rPr>
              <w:t>@6425 – 7125 MHz:</w:t>
            </w:r>
            <w:r>
              <w:rPr>
                <w:rStyle w:val="None"/>
              </w:rPr>
              <w:br/>
              <w:t>6 dB (Wide Area BS)</w:t>
            </w:r>
            <w:r>
              <w:rPr>
                <w:rStyle w:val="None"/>
              </w:rPr>
              <w:br/>
              <w:t>11 dB (Medium Range BS)</w:t>
            </w:r>
            <w:r>
              <w:rPr>
                <w:rStyle w:val="None"/>
              </w:rPr>
              <w:br/>
              <w:t>14 dB (Local Area BS)</w:t>
            </w:r>
          </w:p>
          <w:p w14:paraId="50467B1A" w14:textId="77777777" w:rsidR="00BF7794" w:rsidRDefault="00000000">
            <w:pPr>
              <w:pStyle w:val="Tabletext"/>
              <w:tabs>
                <w:tab w:val="clear" w:pos="1134"/>
                <w:tab w:val="left" w:pos="759"/>
              </w:tabs>
              <w:ind w:left="51" w:hanging="51"/>
              <w:jc w:val="center"/>
              <w:rPr>
                <w:rStyle w:val="None"/>
              </w:rPr>
            </w:pPr>
            <w:r>
              <w:rPr>
                <w:rStyle w:val="None"/>
              </w:rPr>
              <w:t>@10-10.5 GHz</w:t>
            </w:r>
            <w:r>
              <w:rPr>
                <w:rStyle w:val="None"/>
              </w:rPr>
              <w:br/>
              <w:t>7 dB (Wide area BS)</w:t>
            </w:r>
            <w:r>
              <w:rPr>
                <w:rStyle w:val="None"/>
              </w:rPr>
              <w:br/>
              <w:t>12 dB (Medium Range BS)</w:t>
            </w:r>
            <w:r>
              <w:rPr>
                <w:rStyle w:val="None"/>
              </w:rPr>
              <w:br/>
              <w:t>15 dB (Local Area BS)</w:t>
            </w:r>
          </w:p>
          <w:p w14:paraId="3AED87B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For BS class definitions, see [1], § 4.4</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B2C5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[9-13] dB</w:t>
            </w:r>
          </w:p>
        </w:tc>
      </w:tr>
      <w:tr w:rsidR="00BF7794" w14:paraId="2FB4BD54"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29FC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E96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43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91B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r>
      <w:tr w:rsidR="00BF7794" w14:paraId="0224F3B7"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05C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4B7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Blocking response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BAEDB" w14:textId="77777777" w:rsidR="00BF7794" w:rsidRDefault="00000000">
            <w:pPr>
              <w:pStyle w:val="Tabletext"/>
              <w:jc w:val="center"/>
              <w:rPr>
                <w:rStyle w:val="None"/>
              </w:rPr>
            </w:pPr>
            <w:r>
              <w:rPr>
                <w:rStyle w:val="None"/>
              </w:rPr>
              <w:t xml:space="preserve">In-band blocking level: </w:t>
            </w:r>
            <w:r>
              <w:rPr>
                <w:rStyle w:val="None"/>
              </w:rPr>
              <w:br/>
              <w:t>-43 dBm (Wide Area BS)</w:t>
            </w:r>
            <w:r>
              <w:rPr>
                <w:rStyle w:val="None"/>
              </w:rPr>
              <w:br/>
              <w:t>-38 dBm (Medium Range BS)</w:t>
            </w:r>
            <w:r>
              <w:rPr>
                <w:rStyle w:val="None"/>
              </w:rPr>
              <w:br/>
              <w:t>-35 dBm (Local Area BS)</w:t>
            </w:r>
            <w:r>
              <w:rPr>
                <w:rStyle w:val="None"/>
              </w:rPr>
              <w:br/>
              <w:t>Interferer type: 20 MHz DFT-S-OFDM NR signal, 15 kHz SCS, 100 RB.</w:t>
            </w:r>
          </w:p>
          <w:p w14:paraId="0A400D76" w14:textId="77777777" w:rsidR="00BF7794" w:rsidRDefault="00000000">
            <w:pPr>
              <w:pStyle w:val="Tabletext"/>
              <w:jc w:val="center"/>
              <w:rPr>
                <w:rStyle w:val="None"/>
              </w:rPr>
            </w:pPr>
            <w:r>
              <w:rPr>
                <w:rStyle w:val="None"/>
              </w:rPr>
              <w:t>Out-of-band blocking level:</w:t>
            </w:r>
            <w:r>
              <w:rPr>
                <w:rStyle w:val="None"/>
              </w:rPr>
              <w:br/>
              <w:t xml:space="preserve">-15 dBm, Interferer type: CW </w:t>
            </w:r>
          </w:p>
          <w:p w14:paraId="56510BC2" w14:textId="77777777" w:rsidR="00BF7794" w:rsidRDefault="00000000">
            <w:pPr>
              <w:pStyle w:val="Tabletext"/>
              <w:jc w:val="center"/>
            </w:pPr>
            <w:r>
              <w:rPr>
                <w:rStyle w:val="None"/>
              </w:rPr>
              <w:t>Δf</w:t>
            </w:r>
            <w:r>
              <w:rPr>
                <w:rStyle w:val="None"/>
                <w:vertAlign w:val="subscript"/>
              </w:rPr>
              <w:t>OOB</w:t>
            </w:r>
            <w:r>
              <w:rPr>
                <w:rStyle w:val="None"/>
              </w:rPr>
              <w:t xml:space="preserve"> = 100 MHz </w:t>
            </w:r>
            <w:r>
              <w:rPr>
                <w:rStyle w:val="None"/>
                <w:vertAlign w:val="superscript"/>
              </w:rPr>
              <w:t>(Note 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3CEB8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See [2], §7.6, Tables 7.6.2-4 and 7.6.3-4  </w:t>
            </w:r>
            <w:r>
              <w:rPr>
                <w:rStyle w:val="None"/>
                <w:lang w:val="en-US"/>
              </w:rPr>
              <w:br/>
            </w:r>
          </w:p>
        </w:tc>
      </w:tr>
      <w:tr w:rsidR="00BF7794" w14:paraId="0E1DD233"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65A3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FECA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ACS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709D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@6425 – 7125 MHz: 42 dB</w:t>
            </w:r>
          </w:p>
          <w:p w14:paraId="5A90DC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40 dB</w:t>
            </w:r>
            <w:r>
              <w:rPr>
                <w:rStyle w:val="None"/>
                <w:shd w:val="clear" w:color="auto" w:fill="00FFFF"/>
                <w:lang w:val="en-US"/>
              </w:rPr>
              <w:t xml:space="preserve"> </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025CE76D" w14:textId="77777777" w:rsidR="00BF7794" w:rsidRDefault="00000000">
            <w:pPr>
              <w:pStyle w:val="Tabletext"/>
              <w:tabs>
                <w:tab w:val="clear" w:pos="1134"/>
                <w:tab w:val="left" w:pos="759"/>
              </w:tabs>
              <w:ind w:left="51" w:hanging="51"/>
              <w:jc w:val="center"/>
              <w:rPr>
                <w:rStyle w:val="None"/>
              </w:rPr>
            </w:pPr>
            <w:r>
              <w:rPr>
                <w:rStyle w:val="None"/>
              </w:rPr>
              <w:t>@6425 – 7125 MHz: 32 dB</w:t>
            </w:r>
          </w:p>
          <w:p w14:paraId="4126F1F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31 dB</w:t>
            </w:r>
            <w:r>
              <w:rPr>
                <w:rStyle w:val="None"/>
                <w:shd w:val="clear" w:color="auto" w:fill="00FFFF"/>
                <w:lang w:val="en-US"/>
              </w:rPr>
              <w:t xml:space="preserve"> </w:t>
            </w:r>
          </w:p>
        </w:tc>
      </w:tr>
      <w:tr w:rsidR="00BF7794" w14:paraId="0AE8BB78" w14:textId="77777777">
        <w:tblPrEx>
          <w:shd w:val="clear" w:color="auto" w:fill="CDD4E9"/>
        </w:tblPrEx>
        <w:trPr>
          <w:trHeight w:val="3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5B8D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18A9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0EA54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position w:val="12"/>
                <w:sz w:val="18"/>
                <w:szCs w:val="18"/>
                <w:lang w:val="en-US"/>
              </w:rPr>
              <w:t>See “SINR operating range and mapping function” in Annex 1.</w:t>
            </w:r>
          </w:p>
        </w:tc>
      </w:tr>
    </w:tbl>
    <w:p w14:paraId="1D6C900F" w14:textId="77777777" w:rsidR="00BF7794" w:rsidRDefault="00BF7794">
      <w:pPr>
        <w:pStyle w:val="Tabletitle"/>
        <w:widowControl w:val="0"/>
        <w:rPr>
          <w:rStyle w:val="None"/>
        </w:rPr>
      </w:pPr>
    </w:p>
    <w:p w14:paraId="68DF6265" w14:textId="77777777" w:rsidR="00BF7794" w:rsidRDefault="00BF7794">
      <w:pPr>
        <w:pStyle w:val="Body"/>
      </w:pPr>
    </w:p>
    <w:sectPr w:rsidR="00BF7794">
      <w:headerReference w:type="default" r:id="rId9"/>
      <w:footerReference w:type="default" r:id="rId10"/>
      <w:headerReference w:type="first" r:id="rId11"/>
      <w:footerReference w:type="first" r:id="rId12"/>
      <w:pgSz w:w="11900" w:h="16840"/>
      <w:pgMar w:top="1416" w:right="1133" w:bottom="1133" w:left="1133" w:header="850"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FD46" w14:textId="77777777" w:rsidR="00543109" w:rsidRDefault="00543109">
      <w:r>
        <w:separator/>
      </w:r>
    </w:p>
  </w:endnote>
  <w:endnote w:type="continuationSeparator" w:id="0">
    <w:p w14:paraId="79C5A0A9" w14:textId="77777777" w:rsidR="00543109" w:rsidRDefault="0054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7F33" w14:textId="77777777" w:rsidR="00BF7794" w:rsidRDefault="0000000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DF57" w14:textId="77777777" w:rsidR="00BF7794" w:rsidRDefault="0000000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AB5D" w14:textId="77777777" w:rsidR="00543109" w:rsidRDefault="00543109">
      <w:r>
        <w:separator/>
      </w:r>
    </w:p>
  </w:footnote>
  <w:footnote w:type="continuationSeparator" w:id="0">
    <w:p w14:paraId="716AB27C" w14:textId="77777777" w:rsidR="00543109" w:rsidRDefault="0054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E5F7" w14:textId="77777777" w:rsidR="00BF7794" w:rsidRDefault="00000000">
    <w:pPr>
      <w:pStyle w:val="Body"/>
      <w:jc w:val="center"/>
    </w:pPr>
    <w:r>
      <w:rPr>
        <w:rFonts w:ascii="Arial" w:hAnsi="Arial"/>
        <w:b/>
        <w:bCs/>
        <w:sz w:val="18"/>
        <w:szCs w:val="18"/>
      </w:rPr>
      <w:fldChar w:fldCharType="begin"/>
    </w:r>
    <w:r>
      <w:rPr>
        <w:rFonts w:ascii="Arial" w:hAnsi="Arial"/>
        <w:b/>
        <w:bCs/>
        <w:sz w:val="18"/>
        <w:szCs w:val="18"/>
      </w:rPr>
      <w:instrText xml:space="preserve"> PAGE </w:instrText>
    </w:r>
    <w:r>
      <w:rPr>
        <w:rFonts w:ascii="Arial" w:hAnsi="Arial"/>
        <w:b/>
        <w:bCs/>
        <w:sz w:val="18"/>
        <w:szCs w:val="18"/>
      </w:rPr>
      <w:fldChar w:fldCharType="separate"/>
    </w:r>
    <w:r w:rsidR="00891F98">
      <w:rPr>
        <w:rFonts w:ascii="Arial" w:hAnsi="Arial"/>
        <w:b/>
        <w:bCs/>
        <w:noProof/>
        <w:sz w:val="18"/>
        <w:szCs w:val="18"/>
      </w:rPr>
      <w:t>2</w:t>
    </w:r>
    <w:r>
      <w:rPr>
        <w:rFonts w:ascii="Arial" w:hAnsi="Arial"/>
        <w:b/>
        <w:bCs/>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D056A" w14:textId="77777777" w:rsidR="00BF7794" w:rsidRDefault="00BF779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14AA4"/>
    <w:multiLevelType w:val="hybridMultilevel"/>
    <w:tmpl w:val="181407B6"/>
    <w:numStyleLink w:val="ImportedStyle1"/>
  </w:abstractNum>
  <w:abstractNum w:abstractNumId="1" w15:restartNumberingAfterBreak="0">
    <w:nsid w:val="7B467815"/>
    <w:multiLevelType w:val="hybridMultilevel"/>
    <w:tmpl w:val="181407B6"/>
    <w:styleLink w:val="ImportedStyle1"/>
    <w:lvl w:ilvl="0" w:tplc="37DC72DA">
      <w:start w:val="1"/>
      <w:numFmt w:val="decimal"/>
      <w:lvlText w:val="%1."/>
      <w:lvlJc w:val="left"/>
      <w:pPr>
        <w:ind w:left="369" w:hanging="369"/>
      </w:pPr>
      <w:rPr>
        <w:rFonts w:hAnsi="Arial Unicode MS"/>
        <w:caps w:val="0"/>
        <w:smallCaps w:val="0"/>
        <w:strike w:val="0"/>
        <w:dstrike w:val="0"/>
        <w:outline w:val="0"/>
        <w:emboss w:val="0"/>
        <w:imprint w:val="0"/>
        <w:spacing w:val="0"/>
        <w:w w:val="100"/>
        <w:kern w:val="0"/>
        <w:position w:val="0"/>
        <w:highlight w:val="none"/>
        <w:vertAlign w:val="baseline"/>
      </w:rPr>
    </w:lvl>
    <w:lvl w:ilvl="1" w:tplc="9A52DF8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056231A">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414D3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96C4E1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96B52C">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CC18427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FCCD1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4E4B04">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524397859">
    <w:abstractNumId w:val="1"/>
  </w:num>
  <w:num w:numId="2" w16cid:durableId="779422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794"/>
    <w:rsid w:val="00022316"/>
    <w:rsid w:val="000B0B1C"/>
    <w:rsid w:val="001D6F63"/>
    <w:rsid w:val="00260726"/>
    <w:rsid w:val="003F6A9E"/>
    <w:rsid w:val="00404DE6"/>
    <w:rsid w:val="00543109"/>
    <w:rsid w:val="005839AB"/>
    <w:rsid w:val="006009DD"/>
    <w:rsid w:val="00891F98"/>
    <w:rsid w:val="008C3FF6"/>
    <w:rsid w:val="009C5CBD"/>
    <w:rsid w:val="00BF7794"/>
    <w:rsid w:val="00EB3C40"/>
  </w:rsids>
  <m:mathPr>
    <m:mathFont m:val="Cambria Math"/>
    <m:brkBin m:val="before"/>
    <m:brkBinSub m:val="--"/>
    <m:smallFrac m:val="0"/>
    <m:dispDef/>
    <m:lMargin m:val="0"/>
    <m:rMargin m:val="0"/>
    <m:defJc m:val="centerGroup"/>
    <m:wrapIndent m:val="1440"/>
    <m:intLim m:val="subSup"/>
    <m:naryLim m:val="undOvr"/>
  </m:mathPr>
  <w:themeFontLang w:val="en-DE"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2015B7E"/>
  <w15:docId w15:val="{B8047425-8AFF-144B-90BB-8F863E75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DE"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keepLines/>
      <w:spacing w:before="180" w:after="180"/>
      <w:ind w:left="1134" w:hanging="1134"/>
      <w:outlineLvl w:val="1"/>
    </w:pPr>
    <w:rPr>
      <w:rFonts w:ascii="Arial" w:hAnsi="Arial" w:cs="Arial Unicode MS"/>
      <w:color w:val="000000"/>
      <w:sz w:val="32"/>
      <w:szCs w:val="32"/>
      <w:u w:color="000000"/>
      <w:lang w:val="en-US"/>
      <w14:textOutline w14:w="0" w14:cap="flat" w14:cmpd="sng" w14:algn="ctr">
        <w14:noFill/>
        <w14:prstDash w14:val="solid"/>
        <w14:bevel/>
      </w14:textOutline>
    </w:rPr>
  </w:style>
  <w:style w:type="paragraph" w:styleId="Heading8">
    <w:name w:val="heading 8"/>
    <w:next w:val="Body"/>
    <w:pPr>
      <w:keepNext/>
      <w:keepLines/>
      <w:pBdr>
        <w:top w:val="single" w:sz="12" w:space="0" w:color="000000"/>
      </w:pBdr>
      <w:spacing w:before="240" w:after="180"/>
      <w:outlineLvl w:val="7"/>
    </w:pPr>
    <w:rPr>
      <w:rFonts w:ascii="Arial" w:hAnsi="Arial" w:cs="Arial Unicode MS"/>
      <w:color w:val="000000"/>
      <w:sz w:val="36"/>
      <w:szCs w:val="36"/>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after="180"/>
    </w:pPr>
    <w:rPr>
      <w:rFonts w:cs="Arial Unicode MS"/>
      <w:color w:val="000000"/>
      <w:u w:color="000000"/>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CH">
    <w:name w:val="CH"/>
    <w:pPr>
      <w:tabs>
        <w:tab w:val="left" w:pos="2268"/>
        <w:tab w:val="right" w:pos="7920"/>
        <w:tab w:val="right" w:pos="9639"/>
      </w:tabs>
    </w:pPr>
    <w:rPr>
      <w:rFonts w:ascii="Arial" w:eastAsia="Arial" w:hAnsi="Arial" w:cs="Arial"/>
      <w:b/>
      <w:bCs/>
      <w:color w:val="000000"/>
      <w:sz w:val="24"/>
      <w:szCs w:val="24"/>
      <w:u w:color="000000"/>
      <w:lang w:val="en-US"/>
    </w:rPr>
  </w:style>
  <w:style w:type="paragraph" w:customStyle="1" w:styleId="Heading">
    <w:name w:val="Heading"/>
    <w:next w:val="Body"/>
    <w:pPr>
      <w:keepNext/>
      <w:keepLines/>
      <w:pBdr>
        <w:top w:val="single" w:sz="12" w:space="0" w:color="000000"/>
      </w:pBdr>
      <w:spacing w:before="240" w:after="180"/>
      <w:ind w:left="1134" w:hanging="1134"/>
      <w:outlineLvl w:val="2"/>
    </w:pPr>
    <w:rPr>
      <w:rFonts w:ascii="Arial" w:hAnsi="Arial" w:cs="Arial Unicode MS"/>
      <w:color w:val="000000"/>
      <w:sz w:val="36"/>
      <w:szCs w:val="36"/>
      <w:u w:color="000000"/>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style>
  <w:style w:type="paragraph" w:customStyle="1" w:styleId="B1">
    <w:name w:val="B1"/>
    <w:pPr>
      <w:spacing w:after="180"/>
      <w:ind w:left="568" w:hanging="284"/>
    </w:pPr>
    <w:rPr>
      <w:rFonts w:cs="Arial Unicode MS"/>
      <w:color w:val="000000"/>
      <w:u w:color="000000"/>
      <w:lang w:val="en-US"/>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EX">
    <w:name w:val="EX"/>
    <w:pPr>
      <w:keepLines/>
      <w:tabs>
        <w:tab w:val="left" w:pos="369"/>
      </w:tabs>
      <w:spacing w:after="180"/>
    </w:pPr>
    <w:rPr>
      <w:rFonts w:eastAsia="Times New Roman"/>
      <w:color w:val="000000"/>
      <w:u w:color="000000"/>
      <w:lang w:val="en-US"/>
    </w:rPr>
  </w:style>
  <w:style w:type="numbering" w:customStyle="1" w:styleId="ImportedStyle1">
    <w:name w:val="Imported Style 1"/>
    <w:pPr>
      <w:numPr>
        <w:numId w:val="1"/>
      </w:numPr>
    </w:pPr>
  </w:style>
  <w:style w:type="paragraph" w:customStyle="1" w:styleId="TableNo">
    <w:name w:val="Table_No"/>
    <w:next w:val="Body"/>
    <w:pPr>
      <w:keepNext/>
      <w:tabs>
        <w:tab w:val="left" w:pos="1134"/>
        <w:tab w:val="left" w:pos="1871"/>
        <w:tab w:val="left" w:pos="2268"/>
      </w:tabs>
      <w:spacing w:before="560" w:after="120"/>
      <w:jc w:val="center"/>
    </w:pPr>
    <w:rPr>
      <w:rFonts w:cs="Arial Unicode MS"/>
      <w:caps/>
      <w:color w:val="000000"/>
      <w:u w:color="000000"/>
      <w:lang w:val="en-US"/>
    </w:rPr>
  </w:style>
  <w:style w:type="paragraph" w:customStyle="1" w:styleId="Tabletitle">
    <w:name w:val="Table_title"/>
    <w:next w:val="Tabletext"/>
    <w:pPr>
      <w:keepNext/>
      <w:keepLines/>
      <w:tabs>
        <w:tab w:val="left" w:pos="1134"/>
        <w:tab w:val="left" w:pos="1871"/>
        <w:tab w:val="left" w:pos="2268"/>
      </w:tabs>
      <w:spacing w:after="120"/>
      <w:jc w:val="center"/>
    </w:pPr>
    <w:rPr>
      <w:rFonts w:cs="Arial Unicode MS"/>
      <w:b/>
      <w:bCs/>
      <w:color w:val="000000"/>
      <w:u w:color="000000"/>
      <w:lang w:val="en-US"/>
    </w:rPr>
  </w:style>
  <w:style w:type="paragraph" w:customStyle="1" w:styleId="Tabletext">
    <w:name w:val="Table_tex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cs="Arial Unicode MS"/>
      <w:color w:val="000000"/>
      <w:u w:color="000000"/>
      <w:lang w:val="en-US"/>
    </w:rPr>
  </w:style>
  <w:style w:type="paragraph" w:customStyle="1" w:styleId="Tablehead">
    <w:name w:val="Table_head"/>
    <w:pPr>
      <w:keepNext/>
      <w:tabs>
        <w:tab w:val="left" w:pos="1134"/>
        <w:tab w:val="left" w:pos="1871"/>
        <w:tab w:val="left" w:pos="2268"/>
      </w:tabs>
      <w:spacing w:before="80" w:after="80"/>
      <w:jc w:val="center"/>
    </w:pPr>
    <w:rPr>
      <w:rFonts w:cs="Arial Unicode MS"/>
      <w:b/>
      <w:bCs/>
      <w:color w:val="000000"/>
      <w:u w:color="000000"/>
      <w:lang w:val="en-US"/>
    </w:rPr>
  </w:style>
  <w:style w:type="paragraph" w:styleId="Revision">
    <w:name w:val="Revision"/>
    <w:hidden/>
    <w:uiPriority w:val="99"/>
    <w:semiHidden/>
    <w:rsid w:val="00891F9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TF">
    <w:name w:val="TF"/>
    <w:aliases w:val="left"/>
    <w:basedOn w:val="TH"/>
    <w:link w:val="TFChar"/>
    <w:qFormat/>
    <w:rsid w:val="00891F98"/>
    <w:pPr>
      <w:keepNext w:val="0"/>
      <w:pBdr>
        <w:top w:val="none" w:sz="0" w:space="0" w:color="auto"/>
        <w:left w:val="none" w:sz="0" w:space="0" w:color="auto"/>
        <w:bottom w:val="none" w:sz="0" w:space="0" w:color="auto"/>
        <w:right w:val="none" w:sz="0" w:space="0" w:color="auto"/>
        <w:between w:val="none" w:sz="0" w:space="0" w:color="auto"/>
        <w:bar w:val="none" w:sz="0" w:color="auto"/>
      </w:pBdr>
      <w:spacing w:before="0" w:after="240"/>
    </w:pPr>
    <w:rPr>
      <w:rFonts w:eastAsia="Times New Roman" w:cs="Times New Roman"/>
      <w:bCs w:val="0"/>
      <w:color w:val="auto"/>
      <w:bdr w:val="none" w:sz="0" w:space="0" w:color="auto"/>
      <w:lang w:val="en-GB" w:eastAsia="en-US"/>
    </w:rPr>
  </w:style>
  <w:style w:type="character" w:customStyle="1" w:styleId="TFChar">
    <w:name w:val="TF Char"/>
    <w:link w:val="TF"/>
    <w:qFormat/>
    <w:rsid w:val="00891F98"/>
    <w:rPr>
      <w:rFonts w:ascii="Arial" w:eastAsia="Times New Roman" w:hAnsi="Arial"/>
      <w:b/>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6480A-F596-4640-A0E3-EBA166E4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2142</Words>
  <Characters>12212</Characters>
  <Application>Microsoft Office Word</Application>
  <DocSecurity>0</DocSecurity>
  <Lines>101</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Alexander Sayenko</cp:lastModifiedBy>
  <cp:revision>11</cp:revision>
  <dcterms:created xsi:type="dcterms:W3CDTF">2024-05-13T07:42:00Z</dcterms:created>
  <dcterms:modified xsi:type="dcterms:W3CDTF">2024-05-13T14:39:00Z</dcterms:modified>
</cp:coreProperties>
</file>